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6E9E9C" w14:textId="77777777" w:rsidR="00F20066" w:rsidRPr="00FF51C8" w:rsidRDefault="00422577" w:rsidP="00F20066">
      <w:pPr>
        <w:pStyle w:val="Title"/>
        <w:rPr>
          <w:rFonts w:ascii="Trebuchet MS" w:hAnsi="Trebuchet MS"/>
        </w:rPr>
      </w:pPr>
      <w:r w:rsidRPr="00FF51C8">
        <w:rPr>
          <w:rFonts w:ascii="Trebuchet MS" w:hAnsi="Trebuchet MS"/>
          <w:szCs w:val="22"/>
        </w:rPr>
        <w:t>Kant on aesthetic pleasure</w:t>
      </w:r>
      <w:r w:rsidR="00FF51C8" w:rsidRPr="00FF51C8">
        <w:rPr>
          <w:rStyle w:val="FootnoteReference"/>
          <w:rFonts w:ascii="Trebuchet MS" w:hAnsi="Trebuchet MS"/>
          <w:szCs w:val="22"/>
        </w:rPr>
        <w:footnoteReference w:id="1"/>
      </w:r>
    </w:p>
    <w:p w14:paraId="73C7871B" w14:textId="77777777" w:rsidR="00F20066" w:rsidRPr="00FF51C8" w:rsidRDefault="00422577" w:rsidP="00523DFD">
      <w:pPr>
        <w:pStyle w:val="Text"/>
        <w:rPr>
          <w:rFonts w:ascii="Trebuchet MS" w:hAnsi="Trebuchet MS"/>
        </w:rPr>
      </w:pPr>
    </w:p>
    <w:p w14:paraId="48971F1A" w14:textId="77777777" w:rsidR="00FF51C8" w:rsidRDefault="00FF51C8" w:rsidP="00F20066">
      <w:pPr>
        <w:pStyle w:val="Heading1"/>
        <w:rPr>
          <w:rFonts w:ascii="Trebuchet MS" w:hAnsi="Trebuchet MS"/>
          <w:szCs w:val="22"/>
        </w:rPr>
      </w:pPr>
    </w:p>
    <w:p w14:paraId="689111DE" w14:textId="77777777" w:rsidR="00F20066" w:rsidRPr="00FF51C8" w:rsidRDefault="00422577" w:rsidP="00F20066">
      <w:pPr>
        <w:pStyle w:val="Heading1"/>
        <w:rPr>
          <w:rFonts w:ascii="Trebuchet MS" w:hAnsi="Trebuchet MS"/>
          <w:szCs w:val="22"/>
        </w:rPr>
      </w:pPr>
      <w:r w:rsidRPr="00FF51C8">
        <w:rPr>
          <w:rFonts w:ascii="Trebuchet MS" w:hAnsi="Trebuchet MS"/>
          <w:szCs w:val="22"/>
        </w:rPr>
        <w:t>Disinterested pleasure</w:t>
      </w:r>
    </w:p>
    <w:p w14:paraId="2067614B" w14:textId="77777777" w:rsidR="00F20066" w:rsidRPr="00FF51C8" w:rsidRDefault="00422577" w:rsidP="00523DFD">
      <w:pPr>
        <w:pStyle w:val="Text"/>
        <w:rPr>
          <w:rFonts w:ascii="Trebuchet MS" w:hAnsi="Trebuchet MS"/>
        </w:rPr>
      </w:pPr>
      <w:r w:rsidRPr="00FF51C8">
        <w:rPr>
          <w:rFonts w:ascii="Trebuchet MS" w:hAnsi="Trebuchet MS"/>
        </w:rPr>
        <w:t>We do not respond to works of art in the same way as we would if we were seeing what is represented. For</w:t>
      </w:r>
      <w:r w:rsidRPr="00FF51C8">
        <w:rPr>
          <w:rFonts w:ascii="Trebuchet MS" w:hAnsi="Trebuchet MS"/>
        </w:rPr>
        <w:t xml:space="preserve"> example, in a play, if there is a murder, we don’t try to </w:t>
      </w:r>
      <w:r w:rsidR="00B542E5">
        <w:rPr>
          <w:rFonts w:ascii="Trebuchet MS" w:hAnsi="Trebuchet MS"/>
        </w:rPr>
        <w:t>call the police. In response to</w:t>
      </w:r>
      <w:r w:rsidRPr="00FF51C8">
        <w:rPr>
          <w:rFonts w:ascii="Trebuchet MS" w:hAnsi="Trebuchet MS"/>
        </w:rPr>
        <w:t xml:space="preserve"> Caravaggio’s </w:t>
      </w:r>
      <w:r w:rsidRPr="00FF51C8">
        <w:rPr>
          <w:rFonts w:ascii="Trebuchet MS" w:hAnsi="Trebuchet MS"/>
          <w:i/>
        </w:rPr>
        <w:t>Salome receives the head of St John the Baptist</w:t>
      </w:r>
      <w:r w:rsidRPr="00FF51C8">
        <w:rPr>
          <w:rFonts w:ascii="Trebuchet MS" w:hAnsi="Trebuchet MS"/>
        </w:rPr>
        <w:t xml:space="preserve"> (1607-10), we do not vomit as we might if confronted with a real severed head. In fact, we are capab</w:t>
      </w:r>
      <w:r w:rsidRPr="00FF51C8">
        <w:rPr>
          <w:rFonts w:ascii="Trebuchet MS" w:hAnsi="Trebuchet MS"/>
        </w:rPr>
        <w:t>le of enjoying the painting whereas we could never enjoy the reality.</w:t>
      </w:r>
    </w:p>
    <w:p w14:paraId="390C4673" w14:textId="77777777" w:rsidR="00F20066" w:rsidRPr="00FF51C8" w:rsidRDefault="00422577" w:rsidP="00523DFD">
      <w:pPr>
        <w:pStyle w:val="Text"/>
        <w:rPr>
          <w:rFonts w:ascii="Trebuchet MS" w:hAnsi="Trebuchet MS"/>
        </w:rPr>
      </w:pPr>
    </w:p>
    <w:p w14:paraId="26F77934" w14:textId="77777777" w:rsidR="00F20066" w:rsidRPr="00FF51C8" w:rsidRDefault="00422577" w:rsidP="00523DFD">
      <w:pPr>
        <w:pStyle w:val="Text"/>
        <w:rPr>
          <w:rFonts w:ascii="Trebuchet MS" w:hAnsi="Trebuchet MS"/>
        </w:rPr>
      </w:pPr>
      <w:r w:rsidRPr="00FF51C8">
        <w:rPr>
          <w:rFonts w:ascii="Trebuchet MS" w:hAnsi="Trebuchet MS"/>
        </w:rPr>
        <w:t xml:space="preserve">In the </w:t>
      </w:r>
      <w:r w:rsidRPr="00FF51C8">
        <w:rPr>
          <w:rFonts w:ascii="Trebuchet MS" w:hAnsi="Trebuchet MS"/>
          <w:i/>
        </w:rPr>
        <w:t>Critique of Judgment</w:t>
      </w:r>
      <w:r w:rsidRPr="00FF51C8">
        <w:rPr>
          <w:rFonts w:ascii="Trebuchet MS" w:hAnsi="Trebuchet MS"/>
        </w:rPr>
        <w:t>, Immanuel Kant argues that there is a special kind of pleasure that goes with enjoying works of art, which explains why we value art. Aesthetic pleasure is d</w:t>
      </w:r>
      <w:r w:rsidRPr="00FF51C8">
        <w:rPr>
          <w:rFonts w:ascii="Trebuchet MS" w:hAnsi="Trebuchet MS"/>
        </w:rPr>
        <w:t xml:space="preserve">istinct from getting pleasure from what we like or from what is morally good. It is ‘disinterested’ in a variety of ways. </w:t>
      </w:r>
    </w:p>
    <w:p w14:paraId="7EF1880B" w14:textId="77777777" w:rsidR="00F20066" w:rsidRPr="00FF51C8" w:rsidRDefault="00422577" w:rsidP="00523DFD">
      <w:pPr>
        <w:pStyle w:val="Text"/>
        <w:rPr>
          <w:rFonts w:ascii="Trebuchet MS" w:hAnsi="Trebuchet MS"/>
        </w:rPr>
      </w:pPr>
    </w:p>
    <w:p w14:paraId="12FD0B21" w14:textId="77777777" w:rsidR="00F20066" w:rsidRPr="00FF51C8" w:rsidRDefault="00422577" w:rsidP="00523DFD">
      <w:pPr>
        <w:pStyle w:val="Text"/>
        <w:rPr>
          <w:rFonts w:ascii="Trebuchet MS" w:hAnsi="Trebuchet MS"/>
        </w:rPr>
      </w:pPr>
      <w:r w:rsidRPr="00FF51C8">
        <w:rPr>
          <w:rFonts w:ascii="Trebuchet MS" w:hAnsi="Trebuchet MS"/>
        </w:rPr>
        <w:t xml:space="preserve">First, whether what is represented exists is irrelevant. We enjoy simply contemplating it. Second, approving of what is represented </w:t>
      </w:r>
      <w:r w:rsidRPr="00FF51C8">
        <w:rPr>
          <w:rFonts w:ascii="Trebuchet MS" w:hAnsi="Trebuchet MS"/>
        </w:rPr>
        <w:t xml:space="preserve">is irrelevant to our enjoyment, as in </w:t>
      </w:r>
      <w:r w:rsidRPr="00FF51C8">
        <w:rPr>
          <w:rFonts w:ascii="Trebuchet MS" w:hAnsi="Trebuchet MS"/>
        </w:rPr>
        <w:t xml:space="preserve">Caravaggio’s </w:t>
      </w:r>
      <w:r w:rsidRPr="00FF51C8">
        <w:rPr>
          <w:rFonts w:ascii="Trebuchet MS" w:hAnsi="Trebuchet MS"/>
          <w:i/>
        </w:rPr>
        <w:t>Salome</w:t>
      </w:r>
      <w:r w:rsidRPr="00FF51C8">
        <w:rPr>
          <w:rFonts w:ascii="Trebuchet MS" w:hAnsi="Trebuchet MS"/>
        </w:rPr>
        <w:t>. Third, whether what is represented is something we want or could use is irrelevant. Finally, the pleasure taken in the artwork is not itself the satisfaction of any independent desire or practi</w:t>
      </w:r>
      <w:r w:rsidRPr="00FF51C8">
        <w:rPr>
          <w:rFonts w:ascii="Trebuchet MS" w:hAnsi="Trebuchet MS"/>
        </w:rPr>
        <w:t>cal interest. For instance, being pleased at owning a painting is not aesthetic pleasure; nor is being pleased that it will make money; nor is being pleased that a play criticises someone disliked.</w:t>
      </w:r>
    </w:p>
    <w:p w14:paraId="10A0B1A8" w14:textId="77777777" w:rsidR="00F20066" w:rsidRPr="00FF51C8" w:rsidRDefault="00422577" w:rsidP="00523DFD">
      <w:pPr>
        <w:pStyle w:val="Text"/>
        <w:rPr>
          <w:rFonts w:ascii="Trebuchet MS" w:hAnsi="Trebuchet MS"/>
        </w:rPr>
      </w:pPr>
    </w:p>
    <w:p w14:paraId="7FCC2423" w14:textId="77777777" w:rsidR="00F20066" w:rsidRPr="00FF51C8" w:rsidRDefault="00422577" w:rsidP="00F20066">
      <w:pPr>
        <w:pStyle w:val="Heading2"/>
        <w:rPr>
          <w:rFonts w:ascii="Trebuchet MS" w:hAnsi="Trebuchet MS"/>
          <w:szCs w:val="22"/>
        </w:rPr>
      </w:pPr>
      <w:r w:rsidRPr="00FF51C8">
        <w:rPr>
          <w:rFonts w:ascii="Trebuchet MS" w:hAnsi="Trebuchet MS"/>
          <w:szCs w:val="22"/>
        </w:rPr>
        <w:t>‘Psychic distance’</w:t>
      </w:r>
    </w:p>
    <w:p w14:paraId="55935610" w14:textId="77777777" w:rsidR="00F20066" w:rsidRPr="00FF51C8" w:rsidRDefault="00422577" w:rsidP="00523DFD">
      <w:pPr>
        <w:pStyle w:val="Text"/>
        <w:rPr>
          <w:rFonts w:ascii="Trebuchet MS" w:hAnsi="Trebuchet MS"/>
        </w:rPr>
      </w:pPr>
      <w:bookmarkStart w:id="0" w:name="OLE_LINK1"/>
      <w:bookmarkStart w:id="1" w:name="OLE_LINK2"/>
      <w:r w:rsidRPr="00FF51C8">
        <w:rPr>
          <w:rFonts w:ascii="Trebuchet MS" w:hAnsi="Trebuchet MS"/>
        </w:rPr>
        <w:t xml:space="preserve">This has led some thinkers to suggest </w:t>
      </w:r>
      <w:r w:rsidRPr="00FF51C8">
        <w:rPr>
          <w:rFonts w:ascii="Trebuchet MS" w:hAnsi="Trebuchet MS"/>
        </w:rPr>
        <w:t xml:space="preserve">that the right attitude to take towards artworks involves ‘psychic distance’, indicating the fact that the attitude doesn’t involve our personal interests and that we aware we are experiencing a representation, not reality. </w:t>
      </w:r>
    </w:p>
    <w:p w14:paraId="10598DB0" w14:textId="77777777" w:rsidR="00F20066" w:rsidRPr="00FF51C8" w:rsidRDefault="00422577" w:rsidP="00523DFD">
      <w:pPr>
        <w:pStyle w:val="Text"/>
        <w:rPr>
          <w:rFonts w:ascii="Trebuchet MS" w:hAnsi="Trebuchet MS"/>
        </w:rPr>
      </w:pPr>
    </w:p>
    <w:p w14:paraId="569D65AA" w14:textId="77777777" w:rsidR="00F20066" w:rsidRPr="00FF51C8" w:rsidRDefault="00422577" w:rsidP="00523DFD">
      <w:pPr>
        <w:pStyle w:val="Text"/>
        <w:rPr>
          <w:rFonts w:ascii="Trebuchet MS" w:hAnsi="Trebuchet MS"/>
        </w:rPr>
      </w:pPr>
      <w:r w:rsidRPr="00FF51C8">
        <w:rPr>
          <w:rFonts w:ascii="Trebuchet MS" w:hAnsi="Trebuchet MS"/>
        </w:rPr>
        <w:t>However, the phrase is unfortu</w:t>
      </w:r>
      <w:r w:rsidRPr="00FF51C8">
        <w:rPr>
          <w:rFonts w:ascii="Trebuchet MS" w:hAnsi="Trebuchet MS"/>
        </w:rPr>
        <w:t xml:space="preserve">nate. First, it is misleading if we think of psychic distance as a ‘scale’ (more or less distant). Someone who calls the police when watching Shakespeare’s </w:t>
      </w:r>
      <w:r w:rsidRPr="00FF51C8">
        <w:rPr>
          <w:rFonts w:ascii="Trebuchet MS" w:hAnsi="Trebuchet MS"/>
          <w:i/>
        </w:rPr>
        <w:t>Macbeth</w:t>
      </w:r>
      <w:r w:rsidRPr="00FF51C8">
        <w:rPr>
          <w:rFonts w:ascii="Trebuchet MS" w:hAnsi="Trebuchet MS"/>
        </w:rPr>
        <w:t xml:space="preserve"> is not less psychically distant than someone who is motivated to, but resists doing so. To t</w:t>
      </w:r>
      <w:r w:rsidRPr="00FF51C8">
        <w:rPr>
          <w:rFonts w:ascii="Trebuchet MS" w:hAnsi="Trebuchet MS"/>
        </w:rPr>
        <w:t xml:space="preserve">reat the play as reality at all is not to have adopted an aesthetic attitude. </w:t>
      </w:r>
    </w:p>
    <w:p w14:paraId="6F520498" w14:textId="77777777" w:rsidR="00F20066" w:rsidRPr="00FF51C8" w:rsidRDefault="00422577" w:rsidP="00523DFD">
      <w:pPr>
        <w:pStyle w:val="Text"/>
        <w:rPr>
          <w:rFonts w:ascii="Trebuchet MS" w:hAnsi="Trebuchet MS"/>
        </w:rPr>
      </w:pPr>
    </w:p>
    <w:p w14:paraId="38873341" w14:textId="77777777" w:rsidR="00F20066" w:rsidRPr="00FF51C8" w:rsidRDefault="00422577" w:rsidP="00523DFD">
      <w:pPr>
        <w:pStyle w:val="Text"/>
        <w:rPr>
          <w:rFonts w:ascii="Trebuchet MS" w:hAnsi="Trebuchet MS"/>
        </w:rPr>
      </w:pPr>
      <w:r w:rsidRPr="00FF51C8">
        <w:rPr>
          <w:rFonts w:ascii="Trebuchet MS" w:hAnsi="Trebuchet MS"/>
        </w:rPr>
        <w:t xml:space="preserve">Second, it suggests that we aren’t moved emotionally (it reminds us of the term ‘emotionally distant’). But aesthetic responses can be emotionally powerful. </w:t>
      </w:r>
    </w:p>
    <w:p w14:paraId="35C61E27" w14:textId="77777777" w:rsidR="00F20066" w:rsidRPr="00FF51C8" w:rsidRDefault="00422577" w:rsidP="00523DFD">
      <w:pPr>
        <w:pStyle w:val="Text"/>
        <w:rPr>
          <w:rFonts w:ascii="Trebuchet MS" w:hAnsi="Trebuchet MS"/>
        </w:rPr>
      </w:pPr>
    </w:p>
    <w:p w14:paraId="0C7F9A55" w14:textId="77777777" w:rsidR="00F20066" w:rsidRPr="00FF51C8" w:rsidRDefault="00422577" w:rsidP="00523DFD">
      <w:pPr>
        <w:pStyle w:val="Text"/>
        <w:rPr>
          <w:rFonts w:ascii="Trebuchet MS" w:hAnsi="Trebuchet MS"/>
        </w:rPr>
      </w:pPr>
      <w:r w:rsidRPr="00FF51C8">
        <w:rPr>
          <w:rFonts w:ascii="Trebuchet MS" w:hAnsi="Trebuchet MS"/>
        </w:rPr>
        <w:lastRenderedPageBreak/>
        <w:t>Third, we can obj</w:t>
      </w:r>
      <w:r w:rsidRPr="00FF51C8">
        <w:rPr>
          <w:rFonts w:ascii="Trebuchet MS" w:hAnsi="Trebuchet MS"/>
        </w:rPr>
        <w:t>ect that there is no special aesthetic attitude. Instead, we simply pay attention to the aesthetic features of an artwork. The reason this seems like a distinct attitude is that we are not able to direct our attention in this way when it is distracted by o</w:t>
      </w:r>
      <w:r w:rsidRPr="00FF51C8">
        <w:rPr>
          <w:rFonts w:ascii="Trebuchet MS" w:hAnsi="Trebuchet MS"/>
        </w:rPr>
        <w:t>ther, more practical concerns. (When faced with a charging lion, you don’t admire the beauty of its mane.) But in fact, we can argue, aesthetic attention is not a matter of how we look but what we are concentrating on.</w:t>
      </w:r>
    </w:p>
    <w:p w14:paraId="16507264" w14:textId="77777777" w:rsidR="00F20066" w:rsidRPr="00FF51C8" w:rsidRDefault="00422577" w:rsidP="00523DFD">
      <w:pPr>
        <w:pStyle w:val="Text"/>
        <w:rPr>
          <w:rFonts w:ascii="Trebuchet MS" w:hAnsi="Trebuchet MS"/>
        </w:rPr>
      </w:pPr>
    </w:p>
    <w:p w14:paraId="2741330E" w14:textId="77777777" w:rsidR="00F20066" w:rsidRPr="00FF51C8" w:rsidRDefault="00422577" w:rsidP="00F20066">
      <w:pPr>
        <w:pStyle w:val="Heading1"/>
        <w:rPr>
          <w:rFonts w:ascii="Trebuchet MS" w:hAnsi="Trebuchet MS"/>
          <w:szCs w:val="22"/>
        </w:rPr>
      </w:pPr>
      <w:r w:rsidRPr="00FF51C8">
        <w:rPr>
          <w:rFonts w:ascii="Trebuchet MS" w:hAnsi="Trebuchet MS"/>
          <w:szCs w:val="22"/>
        </w:rPr>
        <w:t>Pleasure and value</w:t>
      </w:r>
    </w:p>
    <w:p w14:paraId="0B5079EE" w14:textId="77777777" w:rsidR="00F20066" w:rsidRPr="00FF51C8" w:rsidRDefault="00422577" w:rsidP="00523DFD">
      <w:pPr>
        <w:pStyle w:val="Text"/>
        <w:rPr>
          <w:rFonts w:ascii="Trebuchet MS" w:hAnsi="Trebuchet MS"/>
        </w:rPr>
      </w:pPr>
      <w:r w:rsidRPr="00FF51C8">
        <w:rPr>
          <w:rFonts w:ascii="Trebuchet MS" w:hAnsi="Trebuchet MS"/>
        </w:rPr>
        <w:t>We need not say t</w:t>
      </w:r>
      <w:r w:rsidRPr="00FF51C8">
        <w:rPr>
          <w:rFonts w:ascii="Trebuchet MS" w:hAnsi="Trebuchet MS"/>
        </w:rPr>
        <w:t xml:space="preserve">hat Kant’s account of aesthetic pleasure as disinterested involves ‘psychic distance’ as a special attitude of attention. But we might still object that it is not the answer to why we value art. </w:t>
      </w:r>
    </w:p>
    <w:p w14:paraId="29624AC5" w14:textId="77777777" w:rsidR="00F20066" w:rsidRPr="00FF51C8" w:rsidRDefault="00422577" w:rsidP="00523DFD">
      <w:pPr>
        <w:pStyle w:val="Text"/>
        <w:rPr>
          <w:rFonts w:ascii="Trebuchet MS" w:hAnsi="Trebuchet MS"/>
        </w:rPr>
      </w:pPr>
    </w:p>
    <w:p w14:paraId="3ADB40F5" w14:textId="77777777" w:rsidR="00F20066" w:rsidRPr="00FF51C8" w:rsidRDefault="00422577" w:rsidP="00523DFD">
      <w:pPr>
        <w:pStyle w:val="Text"/>
        <w:rPr>
          <w:rFonts w:ascii="Trebuchet MS" w:hAnsi="Trebuchet MS"/>
        </w:rPr>
      </w:pPr>
      <w:r w:rsidRPr="00FF51C8">
        <w:rPr>
          <w:rFonts w:ascii="Trebuchet MS" w:hAnsi="Trebuchet MS"/>
        </w:rPr>
        <w:t xml:space="preserve">First, we can object that other emotional responses, apart </w:t>
      </w:r>
      <w:r w:rsidRPr="00FF51C8">
        <w:rPr>
          <w:rFonts w:ascii="Trebuchet MS" w:hAnsi="Trebuchet MS"/>
        </w:rPr>
        <w:t>from aesthetic pleasure, are part of our response to art. Second, we can object that we value more than just the individual pleasure that art brings. For example, we value its emotional expressiveness. Third, neither a description of the attitude nor of ae</w:t>
      </w:r>
      <w:r w:rsidRPr="00FF51C8">
        <w:rPr>
          <w:rFonts w:ascii="Trebuchet MS" w:hAnsi="Trebuchet MS"/>
        </w:rPr>
        <w:t>sthetic pleasure tells us what we are aware of, what gives us pleasure, in experiencing artworks.</w:t>
      </w:r>
    </w:p>
    <w:p w14:paraId="0857C53C" w14:textId="77777777" w:rsidR="00F20066" w:rsidRPr="00FF51C8" w:rsidRDefault="00422577" w:rsidP="00523DFD">
      <w:pPr>
        <w:pStyle w:val="Text"/>
        <w:rPr>
          <w:rFonts w:ascii="Trebuchet MS" w:hAnsi="Trebuchet MS"/>
        </w:rPr>
      </w:pPr>
    </w:p>
    <w:p w14:paraId="2A363430" w14:textId="77777777" w:rsidR="00F20066" w:rsidRPr="00FF51C8" w:rsidRDefault="00422577" w:rsidP="00523DFD">
      <w:pPr>
        <w:pStyle w:val="Text"/>
        <w:rPr>
          <w:rFonts w:ascii="Trebuchet MS" w:hAnsi="Trebuchet MS"/>
        </w:rPr>
      </w:pPr>
      <w:r w:rsidRPr="00FF51C8">
        <w:rPr>
          <w:rFonts w:ascii="Trebuchet MS" w:hAnsi="Trebuchet MS"/>
        </w:rPr>
        <w:t>We can suggest a reply to the third objection. Kant and other philosophers who emphasise the importance of a special aesthetic enjoyment argue that what we r</w:t>
      </w:r>
      <w:r w:rsidRPr="00FF51C8">
        <w:rPr>
          <w:rFonts w:ascii="Trebuchet MS" w:hAnsi="Trebuchet MS"/>
        </w:rPr>
        <w:t>espond to in artworks is form.</w:t>
      </w:r>
      <w:bookmarkEnd w:id="0"/>
      <w:bookmarkEnd w:id="1"/>
      <w:r w:rsidRPr="00FF51C8">
        <w:rPr>
          <w:rFonts w:ascii="Trebuchet MS" w:hAnsi="Trebuchet MS"/>
        </w:rPr>
        <w:t xml:space="preserve"> (For further discussion of form, see the handout ‘Form’.)</w:t>
      </w:r>
    </w:p>
    <w:p w14:paraId="7C7CE169" w14:textId="77777777" w:rsidR="00F20066" w:rsidRPr="00FF51C8" w:rsidRDefault="00422577" w:rsidP="00523DFD">
      <w:pPr>
        <w:pStyle w:val="Text"/>
        <w:rPr>
          <w:rFonts w:ascii="Trebuchet MS" w:hAnsi="Trebuchet MS"/>
        </w:rPr>
      </w:pPr>
    </w:p>
    <w:p w14:paraId="5DE08063" w14:textId="77777777" w:rsidR="00F20066" w:rsidRPr="00FF51C8" w:rsidRDefault="00422577" w:rsidP="00F20066">
      <w:pPr>
        <w:pStyle w:val="Heading1"/>
        <w:rPr>
          <w:rFonts w:ascii="Trebuchet MS" w:hAnsi="Trebuchet MS"/>
          <w:szCs w:val="22"/>
        </w:rPr>
      </w:pPr>
      <w:r w:rsidRPr="00FF51C8">
        <w:rPr>
          <w:rFonts w:ascii="Trebuchet MS" w:hAnsi="Trebuchet MS"/>
          <w:szCs w:val="22"/>
        </w:rPr>
        <w:t>‘free play’</w:t>
      </w:r>
    </w:p>
    <w:p w14:paraId="08AA50ED" w14:textId="77777777" w:rsidR="00F20066" w:rsidRPr="00FF51C8" w:rsidRDefault="00422577" w:rsidP="00523DFD">
      <w:pPr>
        <w:pStyle w:val="Text"/>
        <w:rPr>
          <w:rFonts w:ascii="Trebuchet MS" w:hAnsi="Trebuchet MS"/>
        </w:rPr>
      </w:pPr>
      <w:r w:rsidRPr="00FF51C8">
        <w:rPr>
          <w:rFonts w:ascii="Trebuchet MS" w:hAnsi="Trebuchet MS"/>
        </w:rPr>
        <w:t>Kant argues that until experience is organized by concepts, it remains unintelligible, meaningless, a confused buzz. Our most basic concepts, which Kant c</w:t>
      </w:r>
      <w:r w:rsidRPr="00FF51C8">
        <w:rPr>
          <w:rFonts w:ascii="Trebuchet MS" w:hAnsi="Trebuchet MS"/>
        </w:rPr>
        <w:t>alls ‘categories’, enable us to experience an objective world of physical objects. However, we obviously have many more concepts than these. The production and application of concepts is the work of what Kant calls the ‘understanding’. However, the organiz</w:t>
      </w:r>
      <w:r w:rsidRPr="00FF51C8">
        <w:rPr>
          <w:rFonts w:ascii="Trebuchet MS" w:hAnsi="Trebuchet MS"/>
        </w:rPr>
        <w:t xml:space="preserve">ation of stimuli is the work of the ‘imagination’. In normal perception, the understanding dominates, in that the way stimuli are organized is constrained by the concepts we apply. So, for example, as I walk through a wood, I see the trees, their branches </w:t>
      </w:r>
      <w:r w:rsidRPr="00FF51C8">
        <w:rPr>
          <w:rFonts w:ascii="Trebuchet MS" w:hAnsi="Trebuchet MS"/>
        </w:rPr>
        <w:t>moving gently in the wind. But if I free my imagination up from applying the concept of ‘tree’, I can start to see the trees as persons, their branches as arms. I give my imagination a degree of ‘free play’, though still guided by the shapes of the trees.</w:t>
      </w:r>
    </w:p>
    <w:p w14:paraId="08EF4A59" w14:textId="77777777" w:rsidR="00F20066" w:rsidRPr="00FF51C8" w:rsidRDefault="00422577" w:rsidP="00523DFD">
      <w:pPr>
        <w:pStyle w:val="Text"/>
        <w:rPr>
          <w:rFonts w:ascii="Trebuchet MS" w:hAnsi="Trebuchet MS"/>
        </w:rPr>
      </w:pPr>
    </w:p>
    <w:p w14:paraId="5F03FF4A" w14:textId="77777777" w:rsidR="00F20066" w:rsidRPr="00FF51C8" w:rsidRDefault="00422577" w:rsidP="00523DFD">
      <w:pPr>
        <w:pStyle w:val="Text"/>
        <w:rPr>
          <w:rFonts w:ascii="Trebuchet MS" w:hAnsi="Trebuchet MS"/>
        </w:rPr>
      </w:pPr>
      <w:r w:rsidRPr="00FF51C8">
        <w:rPr>
          <w:rFonts w:ascii="Trebuchet MS" w:hAnsi="Trebuchet MS"/>
        </w:rPr>
        <w:t xml:space="preserve">Something like this happens in the aesthetic response, argues Kant. Because we are disinterested, we can ignore the question of what something ‘really’ is. There is no need to constrain our experience by particular concepts. Our imagination has free play </w:t>
      </w:r>
      <w:r w:rsidRPr="00FF51C8">
        <w:rPr>
          <w:rFonts w:ascii="Trebuchet MS" w:hAnsi="Trebuchet MS"/>
        </w:rPr>
        <w:t>in how it organizes what we see, our understanding has free play in creating new concepts (why stop at persons, why not invent a new type of creature out of the trees?). Good art enables us to do this; it stimulates us to free our imagination and understan</w:t>
      </w:r>
      <w:r w:rsidRPr="00FF51C8">
        <w:rPr>
          <w:rFonts w:ascii="Trebuchet MS" w:hAnsi="Trebuchet MS"/>
        </w:rPr>
        <w:t xml:space="preserve">ding and just enjoy making representations. Aesthetic enjoyment, we might argue (going beyond Kant), celebrates freedom and the possibility of refreshing our minds, our creative powers, what is at the very heart of our experience of anything. It is a form </w:t>
      </w:r>
      <w:r w:rsidRPr="00FF51C8">
        <w:rPr>
          <w:rFonts w:ascii="Trebuchet MS" w:hAnsi="Trebuchet MS"/>
        </w:rPr>
        <w:t>of spiritual renewal.</w:t>
      </w:r>
    </w:p>
    <w:p w14:paraId="3765943F" w14:textId="77777777" w:rsidR="00F20066" w:rsidRPr="00FF51C8" w:rsidRDefault="00422577" w:rsidP="00523DFD">
      <w:pPr>
        <w:pStyle w:val="Text"/>
        <w:rPr>
          <w:rFonts w:ascii="Trebuchet MS" w:hAnsi="Trebuchet MS"/>
        </w:rPr>
      </w:pPr>
    </w:p>
    <w:p w14:paraId="4EF510F9" w14:textId="77777777" w:rsidR="00F20066" w:rsidRPr="00FF51C8" w:rsidRDefault="00422577" w:rsidP="00523DFD">
      <w:pPr>
        <w:pStyle w:val="Text"/>
        <w:rPr>
          <w:rFonts w:ascii="Trebuchet MS" w:hAnsi="Trebuchet MS"/>
        </w:rPr>
      </w:pPr>
      <w:r w:rsidRPr="00FF51C8">
        <w:rPr>
          <w:rFonts w:ascii="Trebuchet MS" w:hAnsi="Trebuchet MS"/>
        </w:rPr>
        <w:t>This freedom, Kant says, is enabled by the form of what we experience. For instance, a beautiful object seems as though it were made to be looked at. There is a feeling of perfect match between the powers and nature of our senses and</w:t>
      </w:r>
      <w:r w:rsidRPr="00FF51C8">
        <w:rPr>
          <w:rFonts w:ascii="Trebuchet MS" w:hAnsi="Trebuchet MS"/>
        </w:rPr>
        <w:t xml:space="preserve"> the object itself. This can’t be produced just by what Kant calls the ‘matter’ of the representations, in vision, colours, in hearing, sounds. It must be produced by the way in which the matter is organized, i.e. the form: </w:t>
      </w:r>
    </w:p>
    <w:p w14:paraId="2A99035D" w14:textId="77777777" w:rsidR="00F20066" w:rsidRPr="00FF51C8" w:rsidRDefault="00422577" w:rsidP="00523DFD">
      <w:pPr>
        <w:pStyle w:val="Text"/>
        <w:rPr>
          <w:rFonts w:ascii="Trebuchet MS" w:hAnsi="Trebuchet MS"/>
        </w:rPr>
      </w:pPr>
    </w:p>
    <w:p w14:paraId="4B22D7A2" w14:textId="77777777" w:rsidR="00F20066" w:rsidRPr="00FF51C8" w:rsidRDefault="00422577" w:rsidP="00F20066">
      <w:pPr>
        <w:pStyle w:val="Quotation"/>
        <w:rPr>
          <w:szCs w:val="22"/>
        </w:rPr>
      </w:pPr>
      <w:r w:rsidRPr="00FF51C8">
        <w:t>The colours which give brillia</w:t>
      </w:r>
      <w:r w:rsidRPr="00FF51C8">
        <w:t>ncy to the sketch are part of the charm. They may no doubt, in their own way, enliven the object for sensation, but make it really worth looking at and beautiful they cannot. (</w:t>
      </w:r>
      <w:r w:rsidRPr="00FF51C8">
        <w:rPr>
          <w:i/>
        </w:rPr>
        <w:t>Critique of Judgment</w:t>
      </w:r>
      <w:r w:rsidRPr="00FF51C8">
        <w:t>, § 14)</w:t>
      </w:r>
    </w:p>
    <w:p w14:paraId="12B73B52" w14:textId="77777777" w:rsidR="00F20066" w:rsidRPr="00FF51C8" w:rsidRDefault="00422577" w:rsidP="00523DFD">
      <w:pPr>
        <w:pStyle w:val="Text"/>
        <w:rPr>
          <w:rFonts w:ascii="Trebuchet MS" w:hAnsi="Trebuchet MS"/>
        </w:rPr>
      </w:pPr>
    </w:p>
    <w:p w14:paraId="1A6B679F" w14:textId="77777777" w:rsidR="00F20066" w:rsidRPr="00FF51C8" w:rsidRDefault="00422577" w:rsidP="00523DFD">
      <w:pPr>
        <w:pStyle w:val="Text"/>
        <w:rPr>
          <w:rFonts w:ascii="Trebuchet MS" w:hAnsi="Trebuchet MS"/>
        </w:rPr>
      </w:pPr>
      <w:r w:rsidRPr="00FF51C8">
        <w:rPr>
          <w:rFonts w:ascii="Trebuchet MS" w:hAnsi="Trebuchet MS"/>
        </w:rPr>
        <w:t>Because his account draws on the disinterested natu</w:t>
      </w:r>
      <w:r w:rsidRPr="00FF51C8">
        <w:rPr>
          <w:rFonts w:ascii="Trebuchet MS" w:hAnsi="Trebuchet MS"/>
        </w:rPr>
        <w:t xml:space="preserve">re of the aesthetic attitude and the structure of the mind, we can argue that it has this advantage over expressivism: it justifies aesthetic judgments as objective. Aesthetic judgments rely on nothing particular in me – no interest or experience of mine. </w:t>
      </w:r>
      <w:r w:rsidRPr="00FF51C8">
        <w:rPr>
          <w:rFonts w:ascii="Trebuchet MS" w:hAnsi="Trebuchet MS"/>
        </w:rPr>
        <w:t>If they depended on specific emotions, wouldn’t these vary from person to person and make the judgments subjective? According to Kant, everyone who responds to the object in the right way, i.e. disinterestedly and to its form, should make the same aestheti</w:t>
      </w:r>
      <w:r w:rsidRPr="00FF51C8">
        <w:rPr>
          <w:rFonts w:ascii="Trebuchet MS" w:hAnsi="Trebuchet MS"/>
        </w:rPr>
        <w:t>c judgment about it.</w:t>
      </w:r>
    </w:p>
    <w:p w14:paraId="25730665" w14:textId="77777777" w:rsidR="00F20066" w:rsidRPr="00FF51C8" w:rsidRDefault="00422577" w:rsidP="00523DFD">
      <w:pPr>
        <w:pStyle w:val="Text"/>
        <w:rPr>
          <w:rFonts w:ascii="Trebuchet MS" w:hAnsi="Trebuchet MS"/>
        </w:rPr>
      </w:pPr>
    </w:p>
    <w:p w14:paraId="48C91D0B" w14:textId="77777777" w:rsidR="00F20066" w:rsidRPr="00FF51C8" w:rsidRDefault="00422577" w:rsidP="00F20066">
      <w:pPr>
        <w:pStyle w:val="Heading1"/>
        <w:rPr>
          <w:rFonts w:ascii="Trebuchet MS" w:hAnsi="Trebuchet MS"/>
          <w:szCs w:val="22"/>
        </w:rPr>
      </w:pPr>
      <w:r w:rsidRPr="00FF51C8">
        <w:rPr>
          <w:rFonts w:ascii="Trebuchet MS" w:hAnsi="Trebuchet MS"/>
          <w:szCs w:val="22"/>
        </w:rPr>
        <w:t>Objections</w:t>
      </w:r>
    </w:p>
    <w:p w14:paraId="666C0C5B" w14:textId="77777777" w:rsidR="00F20066" w:rsidRPr="00FF51C8" w:rsidRDefault="00422577" w:rsidP="00523DFD">
      <w:pPr>
        <w:pStyle w:val="Text"/>
        <w:rPr>
          <w:rFonts w:ascii="Trebuchet MS" w:hAnsi="Trebuchet MS"/>
        </w:rPr>
      </w:pPr>
      <w:r w:rsidRPr="00FF51C8">
        <w:rPr>
          <w:rFonts w:ascii="Trebuchet MS" w:hAnsi="Trebuchet MS"/>
        </w:rPr>
        <w:t>Kant provides us with a theory of how and why form matters, and gives us an account of what it is to experience aesthetic pleasure. But he faces three objections.</w:t>
      </w:r>
    </w:p>
    <w:p w14:paraId="5A22E556" w14:textId="77777777" w:rsidR="00F20066" w:rsidRPr="00FF51C8" w:rsidRDefault="00422577" w:rsidP="00523DFD">
      <w:pPr>
        <w:pStyle w:val="Text"/>
        <w:rPr>
          <w:rFonts w:ascii="Trebuchet MS" w:hAnsi="Trebuchet MS"/>
        </w:rPr>
      </w:pPr>
    </w:p>
    <w:p w14:paraId="07C4EBC3" w14:textId="77777777" w:rsidR="00F20066" w:rsidRPr="00FF51C8" w:rsidRDefault="00422577" w:rsidP="00523DFD">
      <w:pPr>
        <w:pStyle w:val="Text"/>
        <w:rPr>
          <w:rFonts w:ascii="Trebuchet MS" w:hAnsi="Trebuchet MS"/>
        </w:rPr>
      </w:pPr>
      <w:r w:rsidRPr="00FF51C8">
        <w:rPr>
          <w:rFonts w:ascii="Trebuchet MS" w:hAnsi="Trebuchet MS"/>
        </w:rPr>
        <w:t>First, we may object that a perfect forgery would have same</w:t>
      </w:r>
      <w:r w:rsidRPr="00FF51C8">
        <w:rPr>
          <w:rFonts w:ascii="Trebuchet MS" w:hAnsi="Trebuchet MS"/>
        </w:rPr>
        <w:t xml:space="preserve"> form (or significant form) as the original; yet we value the original more.</w:t>
      </w:r>
    </w:p>
    <w:p w14:paraId="28955150" w14:textId="77777777" w:rsidR="00F20066" w:rsidRPr="00FF51C8" w:rsidRDefault="00422577" w:rsidP="00523DFD">
      <w:pPr>
        <w:pStyle w:val="Text"/>
        <w:rPr>
          <w:rFonts w:ascii="Trebuchet MS" w:hAnsi="Trebuchet MS"/>
        </w:rPr>
      </w:pPr>
    </w:p>
    <w:p w14:paraId="035D29C1" w14:textId="77777777" w:rsidR="00F20066" w:rsidRPr="00FF51C8" w:rsidRDefault="00422577" w:rsidP="00523DFD">
      <w:pPr>
        <w:pStyle w:val="Text"/>
        <w:rPr>
          <w:rFonts w:ascii="Trebuchet MS" w:hAnsi="Trebuchet MS"/>
        </w:rPr>
      </w:pPr>
      <w:r w:rsidRPr="00FF51C8">
        <w:rPr>
          <w:rFonts w:ascii="Trebuchet MS" w:hAnsi="Trebuchet MS"/>
        </w:rPr>
        <w:t>Second, we can argue that the value of art does not reside just in the pleasure of individuals. Yet Kant’s theory would make it so. We can argue that art communicates and express</w:t>
      </w:r>
      <w:r w:rsidRPr="00FF51C8">
        <w:rPr>
          <w:rFonts w:ascii="Trebuchet MS" w:hAnsi="Trebuchet MS"/>
        </w:rPr>
        <w:t>es a vision or emotion. This social, communicative function of art is lost in Kant’s theory of aesthetic pleasure as the value of art.</w:t>
      </w:r>
    </w:p>
    <w:p w14:paraId="281793BA" w14:textId="77777777" w:rsidR="00F20066" w:rsidRPr="00FF51C8" w:rsidRDefault="00422577" w:rsidP="00523DFD">
      <w:pPr>
        <w:pStyle w:val="Text"/>
        <w:rPr>
          <w:rFonts w:ascii="Trebuchet MS" w:hAnsi="Trebuchet MS"/>
        </w:rPr>
      </w:pPr>
    </w:p>
    <w:p w14:paraId="2B8B0C68" w14:textId="77777777" w:rsidR="00F20066" w:rsidRPr="00FF51C8" w:rsidRDefault="00422577" w:rsidP="00523DFD">
      <w:pPr>
        <w:pStyle w:val="Text"/>
        <w:rPr>
          <w:rFonts w:ascii="Trebuchet MS" w:hAnsi="Trebuchet MS"/>
        </w:rPr>
      </w:pPr>
      <w:r w:rsidRPr="00FF51C8">
        <w:rPr>
          <w:rFonts w:ascii="Trebuchet MS" w:hAnsi="Trebuchet MS"/>
        </w:rPr>
        <w:t>Finally, Kant is ready to reject works that do not have the right form. We can question these judgments. For example, Ka</w:t>
      </w:r>
      <w:r w:rsidRPr="00FF51C8">
        <w:rPr>
          <w:rFonts w:ascii="Trebuchet MS" w:hAnsi="Trebuchet MS"/>
        </w:rPr>
        <w:t xml:space="preserve">nt argues that colour can only add ‘charm’. But first, a work of art such as </w:t>
      </w:r>
      <w:r w:rsidRPr="00FF51C8">
        <w:rPr>
          <w:rFonts w:ascii="Trebuchet MS" w:hAnsi="Trebuchet MS"/>
        </w:rPr>
        <w:t xml:space="preserve">Yves Klein’s </w:t>
      </w:r>
      <w:r w:rsidRPr="00FF51C8">
        <w:rPr>
          <w:rFonts w:ascii="Trebuchet MS" w:hAnsi="Trebuchet MS"/>
          <w:i/>
        </w:rPr>
        <w:t>IKB 79</w:t>
      </w:r>
      <w:r w:rsidRPr="00FF51C8">
        <w:rPr>
          <w:rFonts w:ascii="Trebuchet MS" w:hAnsi="Trebuchet MS"/>
        </w:rPr>
        <w:t xml:space="preserve"> (1959) consists of just one colour – but what a colour it is (the colour, says Klein, expresses ‘pure space’)! Second, Kant has failed to notice how the us</w:t>
      </w:r>
      <w:r w:rsidRPr="00FF51C8">
        <w:rPr>
          <w:rFonts w:ascii="Trebuchet MS" w:hAnsi="Trebuchet MS"/>
        </w:rPr>
        <w:t xml:space="preserve">e of </w:t>
      </w:r>
      <w:r w:rsidR="00B542E5">
        <w:rPr>
          <w:rFonts w:ascii="Trebuchet MS" w:hAnsi="Trebuchet MS"/>
        </w:rPr>
        <w:t>colour is intrinsic to form, as</w:t>
      </w:r>
      <w:bookmarkStart w:id="2" w:name="_GoBack"/>
      <w:bookmarkEnd w:id="2"/>
      <w:r w:rsidRPr="00FF51C8">
        <w:rPr>
          <w:rFonts w:ascii="Trebuchet MS" w:hAnsi="Trebuchet MS"/>
        </w:rPr>
        <w:t xml:space="preserve"> Titian’s </w:t>
      </w:r>
      <w:r w:rsidRPr="00FF51C8">
        <w:rPr>
          <w:rFonts w:ascii="Trebuchet MS" w:hAnsi="Trebuchet MS"/>
          <w:i/>
        </w:rPr>
        <w:t>Bacchus and Ariadne</w:t>
      </w:r>
      <w:r w:rsidRPr="00FF51C8">
        <w:rPr>
          <w:rFonts w:ascii="Trebuchet MS" w:hAnsi="Trebuchet MS"/>
        </w:rPr>
        <w:t xml:space="preserve"> (1520-3) demonstrates. The relation of the blue and brown, both spatially and as complementary colours, structures the painting.</w:t>
      </w:r>
    </w:p>
    <w:p w14:paraId="1067B059" w14:textId="77777777" w:rsidR="00F20066" w:rsidRPr="00FF51C8" w:rsidRDefault="00422577" w:rsidP="00523DFD">
      <w:pPr>
        <w:pStyle w:val="Text"/>
        <w:rPr>
          <w:rFonts w:ascii="Trebuchet MS" w:hAnsi="Trebuchet MS"/>
        </w:rPr>
      </w:pPr>
    </w:p>
    <w:p w14:paraId="74E51381" w14:textId="77777777" w:rsidR="00F20066" w:rsidRPr="00FF51C8" w:rsidRDefault="00422577" w:rsidP="00523DFD">
      <w:pPr>
        <w:pStyle w:val="Text"/>
        <w:rPr>
          <w:rFonts w:ascii="Trebuchet MS" w:hAnsi="Trebuchet MS"/>
        </w:rPr>
      </w:pPr>
      <w:r w:rsidRPr="00FF51C8">
        <w:rPr>
          <w:rFonts w:ascii="Trebuchet MS" w:hAnsi="Trebuchet MS"/>
        </w:rPr>
        <w:t>Kant’s theory also faces objections to the view that the</w:t>
      </w:r>
      <w:r w:rsidRPr="00FF51C8">
        <w:rPr>
          <w:rFonts w:ascii="Trebuchet MS" w:hAnsi="Trebuchet MS"/>
        </w:rPr>
        <w:t xml:space="preserve"> value of art rests in its form. These are discussed in the handout ‘Form’.</w:t>
      </w:r>
    </w:p>
    <w:sectPr w:rsidR="00F20066" w:rsidRPr="00FF51C8" w:rsidSect="00F20066">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8909A7" w14:textId="77777777" w:rsidR="00422577" w:rsidRDefault="00422577">
      <w:r>
        <w:separator/>
      </w:r>
    </w:p>
  </w:endnote>
  <w:endnote w:type="continuationSeparator" w:id="0">
    <w:p w14:paraId="70E4A5FD" w14:textId="77777777" w:rsidR="00422577" w:rsidRDefault="004225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F81FEC" w14:textId="77777777" w:rsidR="00422577" w:rsidRDefault="00422577">
      <w:r>
        <w:separator/>
      </w:r>
    </w:p>
  </w:footnote>
  <w:footnote w:type="continuationSeparator" w:id="0">
    <w:p w14:paraId="0A45C779" w14:textId="77777777" w:rsidR="00422577" w:rsidRDefault="00422577">
      <w:r>
        <w:continuationSeparator/>
      </w:r>
    </w:p>
  </w:footnote>
  <w:footnote w:id="1">
    <w:p w14:paraId="648654F6" w14:textId="77777777" w:rsidR="00FF51C8" w:rsidRDefault="00FF51C8">
      <w:pPr>
        <w:pStyle w:val="FootnoteText"/>
      </w:pPr>
      <w:r>
        <w:rPr>
          <w:rStyle w:val="FootnoteReference"/>
        </w:rPr>
        <w:footnoteRef/>
      </w:r>
      <w:r>
        <w:t xml:space="preserve"> </w:t>
      </w:r>
      <w:r>
        <w:t xml:space="preserve">This handout is based on Lacewing, M. (2008) </w:t>
      </w:r>
      <w:r>
        <w:rPr>
          <w:i/>
        </w:rPr>
        <w:t>Philosophy for AS</w:t>
      </w:r>
      <w:r>
        <w:t xml:space="preserve">, </w:t>
      </w:r>
      <w:r>
        <w:t>London: Routledge, pp. 281-3. 295-7.</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102553" w14:textId="77777777" w:rsidR="00F20066" w:rsidRDefault="00422577" w:rsidP="00F20066">
    <w:pPr>
      <w:pStyle w:val="Header"/>
      <w:jc w:val="right"/>
    </w:pPr>
  </w:p>
  <w:p w14:paraId="4874B047" w14:textId="77777777" w:rsidR="00F20066" w:rsidRDefault="00422577" w:rsidP="00F20066">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B5BDF0" w14:textId="77777777" w:rsidR="00F20066" w:rsidRDefault="00422577" w:rsidP="00F20066">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22448591" w14:textId="77777777" w:rsidR="00F20066" w:rsidRDefault="00422577" w:rsidP="00F20066">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422577"/>
    <w:rsid w:val="00B542E5"/>
    <w:rsid w:val="00FF51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49CD011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23DFD"/>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FF51C8"/>
  </w:style>
  <w:style w:type="paragraph" w:customStyle="1" w:styleId="Text">
    <w:name w:val="Text"/>
    <w:basedOn w:val="Normal"/>
    <w:rsid w:val="00F20066"/>
    <w:rPr>
      <w:rFonts w:ascii="Garamond" w:hAnsi="Garamond"/>
      <w:szCs w:val="22"/>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FF51C8"/>
    <w:rPr>
      <w:sz w:val="24"/>
      <w:szCs w:val="24"/>
      <w:lang w:val="en-GB"/>
    </w:rPr>
  </w:style>
  <w:style w:type="character" w:styleId="FootnoteReference">
    <w:name w:val="footnote reference"/>
    <w:uiPriority w:val="99"/>
    <w:unhideWhenUsed/>
    <w:rsid w:val="00FF51C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4</Pages>
  <Words>1178</Words>
  <Characters>6719</Characters>
  <Application>Microsoft Macintosh Word</Application>
  <DocSecurity>0</DocSecurity>
  <Lines>55</Lines>
  <Paragraphs>15</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A priori intuition and demonstration</vt:lpstr>
      <vt:lpstr>Kant on aesthetic pleasure </vt:lpstr>
      <vt:lpstr/>
      <vt:lpstr>Disinterested pleasure</vt:lpstr>
      <vt:lpstr>    ‘Psychic distance’</vt:lpstr>
      <vt:lpstr>Pleasure and value</vt:lpstr>
      <vt:lpstr>‘free play’</vt:lpstr>
      <vt:lpstr>Objections</vt:lpstr>
    </vt:vector>
  </TitlesOfParts>
  <LinksUpToDate>false</LinksUpToDate>
  <CharactersWithSpaces>7882</CharactersWithSpaces>
  <SharedDoc>false</SharedDoc>
  <HLinks>
    <vt:vector size="12" baseType="variant">
      <vt:variant>
        <vt:i4>3145792</vt:i4>
      </vt:variant>
      <vt:variant>
        <vt:i4>9551</vt:i4>
      </vt:variant>
      <vt:variant>
        <vt:i4>1025</vt:i4>
      </vt:variant>
      <vt:variant>
        <vt:i4>1</vt:i4>
      </vt:variant>
      <vt:variant>
        <vt:lpwstr>ROUT_Logo_Black</vt:lpwstr>
      </vt:variant>
      <vt:variant>
        <vt:lpwstr/>
      </vt:variant>
      <vt:variant>
        <vt:i4>720908</vt:i4>
      </vt:variant>
      <vt:variant>
        <vt:i4>9609</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2017-12-26T22:03:00Z</dcterms:created>
  <dcterms:modified xsi:type="dcterms:W3CDTF">2017-12-26T22:03:00Z</dcterms:modified>
</cp:coreProperties>
</file>