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B72BFE" w14:textId="77777777" w:rsidR="00783952" w:rsidRPr="00DB2B43" w:rsidRDefault="004B78EF" w:rsidP="00783952">
      <w:pPr>
        <w:pStyle w:val="Title"/>
        <w:rPr>
          <w:rFonts w:ascii="Trebuchet MS" w:hAnsi="Trebuchet MS" w:cs="Helvetica"/>
          <w:lang w:bidi="en-US"/>
        </w:rPr>
      </w:pPr>
      <w:r w:rsidRPr="00DB2B43">
        <w:rPr>
          <w:rFonts w:ascii="Trebuchet MS" w:hAnsi="Trebuchet MS" w:cs="Helvetica"/>
          <w:lang w:bidi="en-US"/>
        </w:rPr>
        <w:t>Phenomenalism</w:t>
      </w:r>
      <w:r w:rsidR="00625009" w:rsidRPr="00DB2B43">
        <w:rPr>
          <w:rStyle w:val="FootnoteReference"/>
          <w:rFonts w:ascii="Trebuchet MS" w:hAnsi="Trebuchet MS" w:cs="Helvetica"/>
          <w:lang w:bidi="en-US"/>
        </w:rPr>
        <w:footnoteReference w:id="1"/>
      </w:r>
      <w:bookmarkStart w:id="0" w:name="_GoBack"/>
      <w:bookmarkEnd w:id="0"/>
    </w:p>
    <w:p w14:paraId="2C1F812C" w14:textId="77777777" w:rsidR="00783952" w:rsidRPr="00DB2B43" w:rsidRDefault="004B78EF" w:rsidP="00783952">
      <w:pPr>
        <w:pStyle w:val="Text"/>
        <w:rPr>
          <w:rFonts w:ascii="Trebuchet MS" w:hAnsi="Trebuchet MS"/>
        </w:rPr>
      </w:pPr>
    </w:p>
    <w:p w14:paraId="4FAB3CEA" w14:textId="77777777" w:rsidR="00783952" w:rsidRPr="00DB2B43" w:rsidRDefault="004B78EF" w:rsidP="00783952">
      <w:pPr>
        <w:pStyle w:val="Text"/>
        <w:rPr>
          <w:rFonts w:ascii="Trebuchet MS" w:hAnsi="Trebuchet MS"/>
        </w:rPr>
      </w:pPr>
      <w:r w:rsidRPr="00DB2B43">
        <w:rPr>
          <w:rFonts w:ascii="Trebuchet MS" w:hAnsi="Trebuchet MS"/>
        </w:rPr>
        <w:t xml:space="preserve">Phenomenalism </w:t>
      </w:r>
      <w:r w:rsidR="00DB2B43">
        <w:rPr>
          <w:rFonts w:ascii="Trebuchet MS" w:hAnsi="Trebuchet MS"/>
        </w:rPr>
        <w:t xml:space="preserve">is a theory of perception and the nature of physical objects that </w:t>
      </w:r>
      <w:r w:rsidRPr="00DB2B43">
        <w:rPr>
          <w:rFonts w:ascii="Trebuchet MS" w:hAnsi="Trebuchet MS"/>
        </w:rPr>
        <w:t>mak</w:t>
      </w:r>
      <w:r w:rsidR="00DB2B43">
        <w:rPr>
          <w:rFonts w:ascii="Trebuchet MS" w:hAnsi="Trebuchet MS"/>
        </w:rPr>
        <w:t>es</w:t>
      </w:r>
      <w:r w:rsidRPr="00DB2B43">
        <w:rPr>
          <w:rFonts w:ascii="Trebuchet MS" w:hAnsi="Trebuchet MS"/>
        </w:rPr>
        <w:t xml:space="preserve"> a logical link between our experience and the world of physical objects. There are two famous defences of phenomenalism: Mill’s ‘metaphysical’ account and Ayer’s linguis</w:t>
      </w:r>
      <w:r w:rsidRPr="00DB2B43">
        <w:rPr>
          <w:rFonts w:ascii="Trebuchet MS" w:hAnsi="Trebuchet MS"/>
        </w:rPr>
        <w:t>tic account.</w:t>
      </w:r>
    </w:p>
    <w:p w14:paraId="774CC53B" w14:textId="77777777" w:rsidR="00783952" w:rsidRPr="00DB2B43" w:rsidRDefault="004B78EF" w:rsidP="00783952">
      <w:pPr>
        <w:pStyle w:val="Text"/>
        <w:rPr>
          <w:rFonts w:ascii="Trebuchet MS" w:hAnsi="Trebuchet MS"/>
        </w:rPr>
      </w:pPr>
    </w:p>
    <w:p w14:paraId="57375BAC" w14:textId="77777777" w:rsidR="00783952" w:rsidRPr="00DB2B43" w:rsidRDefault="004B78EF" w:rsidP="00783952">
      <w:pPr>
        <w:pStyle w:val="Heading1"/>
        <w:rPr>
          <w:rFonts w:ascii="Trebuchet MS" w:hAnsi="Trebuchet MS"/>
          <w:bCs/>
        </w:rPr>
      </w:pPr>
      <w:r w:rsidRPr="00DB2B43">
        <w:rPr>
          <w:rFonts w:ascii="Trebuchet MS" w:hAnsi="Trebuchet MS"/>
          <w:bCs/>
        </w:rPr>
        <w:t>Mill’s phenomenalism</w:t>
      </w:r>
    </w:p>
    <w:p w14:paraId="01C4BD6A" w14:textId="77777777" w:rsidR="00783952" w:rsidRPr="00DB2B43" w:rsidRDefault="004B78EF" w:rsidP="00783952">
      <w:pPr>
        <w:pStyle w:val="Text"/>
        <w:rPr>
          <w:rFonts w:ascii="Trebuchet MS" w:hAnsi="Trebuchet MS"/>
        </w:rPr>
      </w:pPr>
      <w:r w:rsidRPr="00DB2B43">
        <w:rPr>
          <w:rFonts w:ascii="Trebuchet MS" w:hAnsi="Trebuchet MS"/>
        </w:rPr>
        <w:t>John Stuart Mill (</w:t>
      </w:r>
      <w:r w:rsidRPr="00DB2B43">
        <w:rPr>
          <w:rFonts w:ascii="Trebuchet MS" w:hAnsi="Trebuchet MS"/>
          <w:i/>
        </w:rPr>
        <w:t>An Examination of Sir William Hamilton's Philosophy</w:t>
      </w:r>
      <w:r w:rsidRPr="00DB2B43">
        <w:rPr>
          <w:rFonts w:ascii="Trebuchet MS" w:hAnsi="Trebuchet MS"/>
        </w:rPr>
        <w:t>, Ch. 11) begins by saying we have only our experience to go on in establishing what there is. When we interact with material objects, for example looki</w:t>
      </w:r>
      <w:r w:rsidRPr="00DB2B43">
        <w:rPr>
          <w:rFonts w:ascii="Trebuchet MS" w:hAnsi="Trebuchet MS"/>
        </w:rPr>
        <w:t>ng for something on a desk, we are presented with a series of new sensations. Certain sensations which were possible come about. I could move this piece of paper, and experience the colour of the surface beneath it. There are all sorts of possible sensatio</w:t>
      </w:r>
      <w:r w:rsidRPr="00DB2B43">
        <w:rPr>
          <w:rFonts w:ascii="Trebuchet MS" w:hAnsi="Trebuchet MS"/>
        </w:rPr>
        <w:t xml:space="preserve">ns that would occur under certain conditions. We have come, from experience, to expect this sequence of sensation; we are certain it will happen. And so we come to think of certain possibilities for sensation as being </w:t>
      </w:r>
      <w:r w:rsidRPr="00DB2B43">
        <w:rPr>
          <w:rFonts w:ascii="Trebuchet MS" w:hAnsi="Trebuchet MS"/>
          <w:iCs/>
        </w:rPr>
        <w:t>permanently</w:t>
      </w:r>
      <w:r w:rsidRPr="00DB2B43">
        <w:rPr>
          <w:rFonts w:ascii="Trebuchet MS" w:hAnsi="Trebuchet MS"/>
        </w:rPr>
        <w:t xml:space="preserve"> available, under certain c</w:t>
      </w:r>
      <w:r w:rsidRPr="00DB2B43">
        <w:rPr>
          <w:rFonts w:ascii="Trebuchet MS" w:hAnsi="Trebuchet MS"/>
        </w:rPr>
        <w:t>onditions. Material objects are ‘permanent possibilities of sensation’.</w:t>
      </w:r>
    </w:p>
    <w:p w14:paraId="73A33C82" w14:textId="77777777" w:rsidR="00783952" w:rsidRPr="00DB2B43" w:rsidRDefault="004B78EF" w:rsidP="00783952">
      <w:pPr>
        <w:pStyle w:val="Text"/>
        <w:rPr>
          <w:rFonts w:ascii="Trebuchet MS" w:hAnsi="Trebuchet MS"/>
        </w:rPr>
      </w:pPr>
    </w:p>
    <w:p w14:paraId="58553F7D" w14:textId="77777777" w:rsidR="00783952" w:rsidRPr="00DB2B43" w:rsidRDefault="004B78EF" w:rsidP="00783952">
      <w:pPr>
        <w:pStyle w:val="Text"/>
        <w:rPr>
          <w:rFonts w:ascii="Trebuchet MS" w:hAnsi="Trebuchet MS"/>
        </w:rPr>
      </w:pPr>
      <w:r w:rsidRPr="00DB2B43">
        <w:rPr>
          <w:rFonts w:ascii="Trebuchet MS" w:hAnsi="Trebuchet MS"/>
        </w:rPr>
        <w:t>We associate certain sensations, and the possibilities of other sensations, together, since whenever I have one sensation, the conditions of having another associated with it are to h</w:t>
      </w:r>
      <w:r w:rsidRPr="00DB2B43">
        <w:rPr>
          <w:rFonts w:ascii="Trebuchet MS" w:hAnsi="Trebuchet MS"/>
        </w:rPr>
        <w:t>and. These ‘clusters’ of possible sensations are what material objects are. A piece of paper is the permanent possibility of certain sensations that we associate together. Only some of the sensations in fact occur; but the material object is a collection o</w:t>
      </w:r>
      <w:r w:rsidRPr="00DB2B43">
        <w:rPr>
          <w:rFonts w:ascii="Trebuchet MS" w:hAnsi="Trebuchet MS"/>
        </w:rPr>
        <w:t>f those that do and those that could occur. We derive the complexity of ideas of space, distance, perspective from the complex associations between sensations that we make (automatically – none of this need be thought through!).</w:t>
      </w:r>
    </w:p>
    <w:p w14:paraId="59717D58" w14:textId="77777777" w:rsidR="00783952" w:rsidRPr="00DB2B43" w:rsidRDefault="004B78EF" w:rsidP="00783952">
      <w:pPr>
        <w:pStyle w:val="Text"/>
        <w:rPr>
          <w:rFonts w:ascii="Trebuchet MS" w:hAnsi="Trebuchet MS"/>
        </w:rPr>
      </w:pPr>
    </w:p>
    <w:p w14:paraId="71E27820" w14:textId="77777777" w:rsidR="00783952" w:rsidRPr="00DB2B43" w:rsidRDefault="004B78EF" w:rsidP="00783952">
      <w:pPr>
        <w:pStyle w:val="Text"/>
        <w:rPr>
          <w:rFonts w:ascii="Trebuchet MS" w:hAnsi="Trebuchet MS"/>
        </w:rPr>
      </w:pPr>
      <w:r w:rsidRPr="00DB2B43">
        <w:rPr>
          <w:rFonts w:ascii="Trebuchet MS" w:hAnsi="Trebuchet MS"/>
        </w:rPr>
        <w:t xml:space="preserve">We then think of material </w:t>
      </w:r>
      <w:r w:rsidRPr="00DB2B43">
        <w:rPr>
          <w:rFonts w:ascii="Trebuchet MS" w:hAnsi="Trebuchet MS"/>
        </w:rPr>
        <w:t>objects as the cause of the sensations that do occur. This isn’t exactly wrong, though perhaps it is peculiar to think of a collection of possibilities causing an actuality. Where we do go wrong, Mill thinks, is if we think this cause is something that cou</w:t>
      </w:r>
      <w:r w:rsidRPr="00DB2B43">
        <w:rPr>
          <w:rFonts w:ascii="Trebuchet MS" w:hAnsi="Trebuchet MS"/>
        </w:rPr>
        <w:t>ld exist quite independent on sensation. This is something we cannot know, and could only lead to scepticism. Instead, there is no logical gap between appearance and reality.</w:t>
      </w:r>
    </w:p>
    <w:p w14:paraId="182757B1" w14:textId="77777777" w:rsidR="00783952" w:rsidRPr="00DB2B43" w:rsidRDefault="004B78EF" w:rsidP="00783952">
      <w:pPr>
        <w:pStyle w:val="Text"/>
        <w:rPr>
          <w:rFonts w:ascii="Trebuchet MS" w:hAnsi="Trebuchet MS"/>
        </w:rPr>
      </w:pPr>
    </w:p>
    <w:p w14:paraId="385BE2B7" w14:textId="77777777" w:rsidR="00783952" w:rsidRPr="00DB2B43" w:rsidRDefault="004B78EF" w:rsidP="00783952">
      <w:pPr>
        <w:pStyle w:val="Heading1"/>
        <w:rPr>
          <w:rFonts w:ascii="Trebuchet MS" w:hAnsi="Trebuchet MS"/>
          <w:bCs/>
        </w:rPr>
      </w:pPr>
      <w:r w:rsidRPr="00DB2B43">
        <w:rPr>
          <w:rFonts w:ascii="Trebuchet MS" w:hAnsi="Trebuchet MS"/>
          <w:bCs/>
        </w:rPr>
        <w:t>Ayer’s linguistic phenomenalism</w:t>
      </w:r>
    </w:p>
    <w:p w14:paraId="38154FE9" w14:textId="77777777" w:rsidR="00783952" w:rsidRPr="00DB2B43" w:rsidRDefault="004B78EF" w:rsidP="00783952">
      <w:pPr>
        <w:pStyle w:val="Text"/>
        <w:rPr>
          <w:rFonts w:ascii="Trebuchet MS" w:hAnsi="Trebuchet MS"/>
        </w:rPr>
      </w:pPr>
      <w:r w:rsidRPr="00DB2B43">
        <w:rPr>
          <w:rFonts w:ascii="Trebuchet MS" w:hAnsi="Trebuchet MS"/>
        </w:rPr>
        <w:t>A J Ayer takes a different tack (</w:t>
      </w:r>
      <w:r w:rsidRPr="00DB2B43">
        <w:rPr>
          <w:rFonts w:ascii="Trebuchet MS" w:hAnsi="Trebuchet MS"/>
          <w:i/>
        </w:rPr>
        <w:t>Language, Truth</w:t>
      </w:r>
      <w:r w:rsidRPr="00DB2B43">
        <w:rPr>
          <w:rFonts w:ascii="Trebuchet MS" w:hAnsi="Trebuchet MS"/>
          <w:i/>
        </w:rPr>
        <w:t xml:space="preserve"> and Logic</w:t>
      </w:r>
      <w:r w:rsidRPr="00DB2B43">
        <w:rPr>
          <w:rFonts w:ascii="Trebuchet MS" w:hAnsi="Trebuchet MS"/>
        </w:rPr>
        <w:t xml:space="preserve">, Ch. 3). He defends phenomenalism through his analysis of statements concerning material objects. He claims that the function of philosophy is to give </w:t>
      </w:r>
      <w:r w:rsidRPr="00DB2B43">
        <w:rPr>
          <w:rFonts w:ascii="Trebuchet MS" w:hAnsi="Trebuchet MS"/>
        </w:rPr>
        <w:lastRenderedPageBreak/>
        <w:t>‘definitions in use’, showing how the sentences in which a symbol or type of symbol (such as ‘</w:t>
      </w:r>
      <w:r w:rsidRPr="00DB2B43">
        <w:rPr>
          <w:rFonts w:ascii="Trebuchet MS" w:hAnsi="Trebuchet MS"/>
        </w:rPr>
        <w:t>table’ or words for material objects generally) occurs can be translated into equivalent sentences which don’t contain it or its synonyms. (He contrasts this with dictionary definitions, in which symbols are defined in terms of synonyms.) Philosophical def</w:t>
      </w:r>
      <w:r w:rsidRPr="00DB2B43">
        <w:rPr>
          <w:rFonts w:ascii="Trebuchet MS" w:hAnsi="Trebuchet MS"/>
        </w:rPr>
        <w:t xml:space="preserve">initions, then, can deepen our understanding of terms in a way dictionary definitions do not, i.e. they can still be informative to someone who already knows what all the terms mean in the dictionary sense. </w:t>
      </w:r>
    </w:p>
    <w:p w14:paraId="24A777C9" w14:textId="77777777" w:rsidR="00783952" w:rsidRPr="00DB2B43" w:rsidRDefault="004B78EF" w:rsidP="00783952">
      <w:pPr>
        <w:pStyle w:val="Text"/>
        <w:rPr>
          <w:rFonts w:ascii="Trebuchet MS" w:hAnsi="Trebuchet MS"/>
        </w:rPr>
      </w:pPr>
    </w:p>
    <w:p w14:paraId="47AB2134" w14:textId="77777777" w:rsidR="00783952" w:rsidRPr="00DB2B43" w:rsidRDefault="004B78EF" w:rsidP="00783952">
      <w:pPr>
        <w:pStyle w:val="Text"/>
        <w:rPr>
          <w:rFonts w:ascii="Trebuchet MS" w:hAnsi="Trebuchet MS"/>
        </w:rPr>
      </w:pPr>
      <w:r w:rsidRPr="00DB2B43">
        <w:rPr>
          <w:rFonts w:ascii="Trebuchet MS" w:hAnsi="Trebuchet MS"/>
        </w:rPr>
        <w:t>It can happen that we discover the term is ‘sta</w:t>
      </w:r>
      <w:r w:rsidRPr="00DB2B43">
        <w:rPr>
          <w:rFonts w:ascii="Trebuchet MS" w:hAnsi="Trebuchet MS"/>
        </w:rPr>
        <w:t xml:space="preserve">nding in for’ something more complex. What is referred to by terms that do this are ‘logical constructions’. Ayer argues that material objects are logical constructions – all propositions about material objects can be </w:t>
      </w:r>
      <w:r w:rsidRPr="00DB2B43">
        <w:rPr>
          <w:rFonts w:ascii="Trebuchet MS" w:hAnsi="Trebuchet MS"/>
          <w:iCs/>
        </w:rPr>
        <w:t>translated</w:t>
      </w:r>
      <w:r w:rsidRPr="00DB2B43">
        <w:rPr>
          <w:rFonts w:ascii="Trebuchet MS" w:hAnsi="Trebuchet MS"/>
        </w:rPr>
        <w:t xml:space="preserve"> </w:t>
      </w:r>
      <w:r w:rsidRPr="00DB2B43">
        <w:rPr>
          <w:rFonts w:ascii="Trebuchet MS" w:hAnsi="Trebuchet MS"/>
          <w:iCs/>
        </w:rPr>
        <w:t>without loss</w:t>
      </w:r>
      <w:r w:rsidRPr="00DB2B43">
        <w:rPr>
          <w:rFonts w:ascii="Trebuchet MS" w:hAnsi="Trebuchet MS"/>
        </w:rPr>
        <w:t xml:space="preserve"> into propositi</w:t>
      </w:r>
      <w:r w:rsidRPr="00DB2B43">
        <w:rPr>
          <w:rFonts w:ascii="Trebuchet MS" w:hAnsi="Trebuchet MS"/>
        </w:rPr>
        <w:t>ons about sense-data:</w:t>
      </w:r>
    </w:p>
    <w:p w14:paraId="0B2590CD" w14:textId="77777777" w:rsidR="00783952" w:rsidRPr="00DB2B43" w:rsidRDefault="004B78EF" w:rsidP="00783952">
      <w:pPr>
        <w:pStyle w:val="Text"/>
        <w:rPr>
          <w:rFonts w:ascii="Trebuchet MS" w:hAnsi="Trebuchet MS"/>
        </w:rPr>
      </w:pPr>
    </w:p>
    <w:p w14:paraId="3B30B1D5" w14:textId="77777777" w:rsidR="00783952" w:rsidRPr="00DB2B43" w:rsidRDefault="004B78EF" w:rsidP="00783952">
      <w:pPr>
        <w:pStyle w:val="Quotation"/>
      </w:pPr>
      <w:r w:rsidRPr="00DB2B43">
        <w:t>the symbol ‘table’ is definable in terms of certain symbols which stand for sense-contents, not explicitly, but in use. And this…is tantamount to saying that sentences which contain the symbol ‘table’…can all be translated into sente</w:t>
      </w:r>
      <w:r w:rsidRPr="00DB2B43">
        <w:t>nces…which do not contain that symbol, nor any of its synonyms, but do contain certain symbols which stand for sense-contents. (</w:t>
      </w:r>
      <w:r w:rsidRPr="00DB2B43">
        <w:rPr>
          <w:i/>
        </w:rPr>
        <w:t>Language, Truth and Logic</w:t>
      </w:r>
      <w:r w:rsidRPr="00DB2B43">
        <w:t>, pp. 85-6)</w:t>
      </w:r>
    </w:p>
    <w:p w14:paraId="56231C68" w14:textId="77777777" w:rsidR="00783952" w:rsidRPr="00DB2B43" w:rsidRDefault="004B78EF" w:rsidP="00783952">
      <w:pPr>
        <w:pStyle w:val="Text"/>
        <w:rPr>
          <w:rFonts w:ascii="Trebuchet MS" w:hAnsi="Trebuchet MS"/>
        </w:rPr>
      </w:pPr>
    </w:p>
    <w:p w14:paraId="1C05AE6E" w14:textId="77777777" w:rsidR="00783952" w:rsidRPr="00DB2B43" w:rsidRDefault="004B78EF" w:rsidP="00783952">
      <w:pPr>
        <w:pStyle w:val="Text"/>
        <w:rPr>
          <w:rFonts w:ascii="Trebuchet MS" w:hAnsi="Trebuchet MS"/>
        </w:rPr>
      </w:pPr>
      <w:r w:rsidRPr="00DB2B43">
        <w:rPr>
          <w:rFonts w:ascii="Trebuchet MS" w:hAnsi="Trebuchet MS"/>
        </w:rPr>
        <w:t xml:space="preserve">Notice that Ayer doesn’t claim that material objects are </w:t>
      </w:r>
      <w:r w:rsidRPr="00DB2B43">
        <w:rPr>
          <w:rFonts w:ascii="Trebuchet MS" w:hAnsi="Trebuchet MS"/>
          <w:iCs/>
        </w:rPr>
        <w:t>constructed, made out,</w:t>
      </w:r>
      <w:r w:rsidRPr="00DB2B43">
        <w:rPr>
          <w:rFonts w:ascii="Trebuchet MS" w:hAnsi="Trebuchet MS"/>
        </w:rPr>
        <w:t xml:space="preserve"> of sense d</w:t>
      </w:r>
      <w:r w:rsidRPr="00DB2B43">
        <w:rPr>
          <w:rFonts w:ascii="Trebuchet MS" w:hAnsi="Trebuchet MS"/>
        </w:rPr>
        <w:t xml:space="preserve">ata; but that propositions about material objects are in fact </w:t>
      </w:r>
      <w:r w:rsidRPr="00DB2B43">
        <w:rPr>
          <w:rStyle w:val="Emphasis"/>
          <w:rFonts w:ascii="Trebuchet MS" w:hAnsi="Trebuchet MS"/>
        </w:rPr>
        <w:t>entirely</w:t>
      </w:r>
      <w:r w:rsidRPr="00DB2B43">
        <w:rPr>
          <w:rFonts w:ascii="Trebuchet MS" w:hAnsi="Trebuchet MS"/>
        </w:rPr>
        <w:t xml:space="preserve"> concerned with features and relations of sense-data. To say that a material object exists is to say that certain sorts of sense data have been, are being, and would be experienced under</w:t>
      </w:r>
      <w:r w:rsidRPr="00DB2B43">
        <w:rPr>
          <w:rFonts w:ascii="Trebuchet MS" w:hAnsi="Trebuchet MS"/>
        </w:rPr>
        <w:t xml:space="preserve"> certain conditions. So there is no logical gap between appearance and reality.</w:t>
      </w:r>
    </w:p>
    <w:p w14:paraId="210173FA" w14:textId="77777777" w:rsidR="00783952" w:rsidRPr="00DB2B43" w:rsidRDefault="004B78EF" w:rsidP="00783952">
      <w:pPr>
        <w:pStyle w:val="Text"/>
        <w:rPr>
          <w:rFonts w:ascii="Trebuchet MS" w:hAnsi="Trebuchet MS"/>
        </w:rPr>
      </w:pPr>
    </w:p>
    <w:p w14:paraId="4FCAF245" w14:textId="77777777" w:rsidR="00783952" w:rsidRPr="00DB2B43" w:rsidRDefault="004B78EF" w:rsidP="00783952">
      <w:pPr>
        <w:pStyle w:val="Heading1"/>
        <w:rPr>
          <w:rFonts w:ascii="Trebuchet MS" w:hAnsi="Trebuchet MS"/>
        </w:rPr>
      </w:pPr>
      <w:r w:rsidRPr="00DB2B43">
        <w:rPr>
          <w:rFonts w:ascii="Trebuchet MS" w:hAnsi="Trebuchet MS"/>
        </w:rPr>
        <w:t>Objections to phenomenalism</w:t>
      </w:r>
    </w:p>
    <w:p w14:paraId="37BD209A" w14:textId="77777777" w:rsidR="00783952" w:rsidRPr="00DB2B43" w:rsidRDefault="004B78EF" w:rsidP="00783952">
      <w:pPr>
        <w:pStyle w:val="Text"/>
        <w:rPr>
          <w:rFonts w:ascii="Trebuchet MS" w:hAnsi="Trebuchet MS"/>
        </w:rPr>
      </w:pPr>
      <w:r w:rsidRPr="00DB2B43">
        <w:rPr>
          <w:rFonts w:ascii="Trebuchet MS" w:hAnsi="Trebuchet MS"/>
        </w:rPr>
        <w:t>Very few philosophers accept phenomenalism now. What objections does it face?</w:t>
      </w:r>
    </w:p>
    <w:p w14:paraId="6D987E1F" w14:textId="77777777" w:rsidR="00783952" w:rsidRPr="00DB2B43" w:rsidRDefault="004B78EF" w:rsidP="00783952">
      <w:pPr>
        <w:pStyle w:val="Text"/>
        <w:rPr>
          <w:rFonts w:ascii="Trebuchet MS" w:hAnsi="Trebuchet MS"/>
        </w:rPr>
      </w:pPr>
    </w:p>
    <w:p w14:paraId="0E2B64B9" w14:textId="77777777" w:rsidR="00783952" w:rsidRPr="00DB2B43" w:rsidRDefault="004B78EF" w:rsidP="00783952">
      <w:pPr>
        <w:pStyle w:val="Text"/>
        <w:rPr>
          <w:rFonts w:ascii="Trebuchet MS" w:hAnsi="Trebuchet MS"/>
        </w:rPr>
      </w:pPr>
      <w:r w:rsidRPr="00DB2B43">
        <w:rPr>
          <w:rFonts w:ascii="Trebuchet MS" w:hAnsi="Trebuchet MS"/>
        </w:rPr>
        <w:t>First, experiences of material objects have a logical and reliable p</w:t>
      </w:r>
      <w:r w:rsidRPr="00DB2B43">
        <w:rPr>
          <w:rFonts w:ascii="Trebuchet MS" w:hAnsi="Trebuchet MS"/>
        </w:rPr>
        <w:t xml:space="preserve">attern. What is the </w:t>
      </w:r>
      <w:r w:rsidRPr="00DB2B43">
        <w:rPr>
          <w:rStyle w:val="Emphasis"/>
          <w:rFonts w:ascii="Trebuchet MS" w:hAnsi="Trebuchet MS"/>
        </w:rPr>
        <w:t>explanation</w:t>
      </w:r>
      <w:r w:rsidRPr="00DB2B43">
        <w:rPr>
          <w:rFonts w:ascii="Trebuchet MS" w:hAnsi="Trebuchet MS"/>
        </w:rPr>
        <w:t xml:space="preserve"> for this? Commonsense claims that material objects explain our experiences; phenomenalists can only say that our experiences do have these patterns. But first, it isn’t obvious that we can actually describe that pattern with</w:t>
      </w:r>
      <w:r w:rsidRPr="00DB2B43">
        <w:rPr>
          <w:rFonts w:ascii="Trebuchet MS" w:hAnsi="Trebuchet MS"/>
        </w:rPr>
        <w:t>out referring to material objects; and second, if there is no independent cause of this pattern, what reason do we have to think that future sense-data will follow the same patterns?</w:t>
      </w:r>
    </w:p>
    <w:p w14:paraId="31C3D19E" w14:textId="77777777" w:rsidR="00783952" w:rsidRPr="00DB2B43" w:rsidRDefault="004B78EF" w:rsidP="00783952">
      <w:pPr>
        <w:pStyle w:val="Text"/>
        <w:rPr>
          <w:rFonts w:ascii="Trebuchet MS" w:hAnsi="Trebuchet MS"/>
        </w:rPr>
      </w:pPr>
    </w:p>
    <w:p w14:paraId="404D6E05" w14:textId="77777777" w:rsidR="00783952" w:rsidRPr="00DB2B43" w:rsidRDefault="004B78EF" w:rsidP="00783952">
      <w:pPr>
        <w:pStyle w:val="Text"/>
        <w:rPr>
          <w:rFonts w:ascii="Trebuchet MS" w:hAnsi="Trebuchet MS"/>
        </w:rPr>
      </w:pPr>
      <w:r w:rsidRPr="00DB2B43">
        <w:rPr>
          <w:rFonts w:ascii="Trebuchet MS" w:hAnsi="Trebuchet MS"/>
        </w:rPr>
        <w:t>Second, phenomenalism’s claim that statements regarding material objects</w:t>
      </w:r>
      <w:r w:rsidRPr="00DB2B43">
        <w:rPr>
          <w:rFonts w:ascii="Trebuchet MS" w:hAnsi="Trebuchet MS"/>
        </w:rPr>
        <w:t xml:space="preserve"> can be translated into statements about what was, is, and would </w:t>
      </w:r>
      <w:r w:rsidR="00DB2B43" w:rsidRPr="00DB2B43">
        <w:rPr>
          <w:rFonts w:ascii="Trebuchet MS" w:hAnsi="Trebuchet MS"/>
        </w:rPr>
        <w:t>experience</w:t>
      </w:r>
      <w:r w:rsidRPr="00DB2B43">
        <w:rPr>
          <w:rFonts w:ascii="Trebuchet MS" w:hAnsi="Trebuchet MS"/>
        </w:rPr>
        <w:t xml:space="preserve"> under certain conditions invites the challenge: ‘go on, then, prove it!’. This challenge may prove insurmountable, for the specification of the conditions under which the various </w:t>
      </w:r>
      <w:r w:rsidRPr="00DB2B43">
        <w:rPr>
          <w:rFonts w:ascii="Trebuchet MS" w:hAnsi="Trebuchet MS"/>
        </w:rPr>
        <w:t xml:space="preserve">sense data would be experienced must be in terms of other sense data. The translation of the claim ‘there is a table in the next room’ must not refer to the room (as a physical space) at any point. </w:t>
      </w:r>
    </w:p>
    <w:p w14:paraId="75828490" w14:textId="77777777" w:rsidR="00783952" w:rsidRPr="00DB2B43" w:rsidRDefault="004B78EF" w:rsidP="00783952">
      <w:pPr>
        <w:pStyle w:val="Text"/>
        <w:rPr>
          <w:rFonts w:ascii="Trebuchet MS" w:hAnsi="Trebuchet MS"/>
        </w:rPr>
      </w:pPr>
    </w:p>
    <w:p w14:paraId="2B2484D8" w14:textId="77777777" w:rsidR="00783952" w:rsidRPr="00DB2B43" w:rsidRDefault="004B78EF" w:rsidP="00783952">
      <w:pPr>
        <w:pStyle w:val="Text"/>
        <w:rPr>
          <w:rFonts w:ascii="Trebuchet MS" w:hAnsi="Trebuchet MS"/>
        </w:rPr>
      </w:pPr>
      <w:r w:rsidRPr="00DB2B43">
        <w:rPr>
          <w:rFonts w:ascii="Trebuchet MS" w:hAnsi="Trebuchet MS"/>
        </w:rPr>
        <w:t>Phenomenalists have responded by appealing to the idea o</w:t>
      </w:r>
      <w:r w:rsidRPr="00DB2B43">
        <w:rPr>
          <w:rFonts w:ascii="Trebuchet MS" w:hAnsi="Trebuchet MS"/>
        </w:rPr>
        <w:t xml:space="preserve">f a </w:t>
      </w:r>
      <w:r w:rsidRPr="00DB2B43">
        <w:rPr>
          <w:rStyle w:val="Emphasis"/>
          <w:rFonts w:ascii="Trebuchet MS" w:hAnsi="Trebuchet MS"/>
        </w:rPr>
        <w:t>sensory route,</w:t>
      </w:r>
      <w:r w:rsidRPr="00DB2B43">
        <w:rPr>
          <w:rFonts w:ascii="Trebuchet MS" w:hAnsi="Trebuchet MS"/>
        </w:rPr>
        <w:t xml:space="preserve"> a series of juxtaposed and often overlapping sense data that would be experienced in ‘locating’ the table. But there are </w:t>
      </w:r>
      <w:r w:rsidRPr="00DB2B43">
        <w:rPr>
          <w:rStyle w:val="Emphasis"/>
          <w:rFonts w:ascii="Trebuchet MS" w:hAnsi="Trebuchet MS"/>
        </w:rPr>
        <w:t>many</w:t>
      </w:r>
      <w:r w:rsidRPr="00DB2B43">
        <w:rPr>
          <w:rFonts w:ascii="Trebuchet MS" w:hAnsi="Trebuchet MS"/>
        </w:rPr>
        <w:t xml:space="preserve"> different sensory routes to a given material object, while ‘there is a table in the next room’ seems to claim j</w:t>
      </w:r>
      <w:r w:rsidRPr="00DB2B43">
        <w:rPr>
          <w:rFonts w:ascii="Trebuchet MS" w:hAnsi="Trebuchet MS"/>
        </w:rPr>
        <w:t>ust one thing. Furthermore, we can often understand the claim that a certain material object or set of objects exists at a certain location without having any clear idea of the relevant sensory route, e.g. ‘Penguins exist at the South Pole’. Finally, the c</w:t>
      </w:r>
      <w:r w:rsidRPr="00DB2B43">
        <w:rPr>
          <w:rFonts w:ascii="Trebuchet MS" w:hAnsi="Trebuchet MS"/>
        </w:rPr>
        <w:t xml:space="preserve">onditionals in which the analysis is given may be falsified by situations that would not falsify the claim referring to the material object, e.g. I won’t experience certain sense data if I suddenly go blind upon entering the room, but the table will still </w:t>
      </w:r>
      <w:r w:rsidRPr="00DB2B43">
        <w:rPr>
          <w:rFonts w:ascii="Trebuchet MS" w:hAnsi="Trebuchet MS"/>
        </w:rPr>
        <w:t>be there.</w:t>
      </w:r>
    </w:p>
    <w:p w14:paraId="3309281D" w14:textId="77777777" w:rsidR="00783952" w:rsidRPr="00DB2B43" w:rsidDel="005073C4" w:rsidRDefault="004B78EF" w:rsidP="00783952">
      <w:pPr>
        <w:pStyle w:val="Text"/>
        <w:rPr>
          <w:rFonts w:ascii="Trebuchet MS" w:hAnsi="Trebuchet MS"/>
        </w:rPr>
      </w:pPr>
    </w:p>
    <w:sectPr w:rsidR="00783952" w:rsidRPr="00DB2B43" w:rsidDel="005073C4" w:rsidSect="00783952">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525986" w14:textId="77777777" w:rsidR="004B78EF" w:rsidRDefault="004B78EF">
      <w:r>
        <w:separator/>
      </w:r>
    </w:p>
  </w:endnote>
  <w:endnote w:type="continuationSeparator" w:id="0">
    <w:p w14:paraId="0C2412DA" w14:textId="77777777" w:rsidR="004B78EF" w:rsidRDefault="004B7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swiss"/>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73BD4C" w14:textId="77777777" w:rsidR="004B78EF" w:rsidRDefault="004B78EF">
      <w:r>
        <w:separator/>
      </w:r>
    </w:p>
  </w:footnote>
  <w:footnote w:type="continuationSeparator" w:id="0">
    <w:p w14:paraId="40B317D4" w14:textId="77777777" w:rsidR="004B78EF" w:rsidRDefault="004B78EF">
      <w:r>
        <w:continuationSeparator/>
      </w:r>
    </w:p>
  </w:footnote>
  <w:footnote w:id="1">
    <w:p w14:paraId="100736C7" w14:textId="77777777" w:rsidR="00625009" w:rsidRDefault="00625009">
      <w:pPr>
        <w:pStyle w:val="FootnoteText"/>
      </w:pPr>
      <w:r>
        <w:rPr>
          <w:rStyle w:val="FootnoteReference"/>
        </w:rPr>
        <w:footnoteRef/>
      </w:r>
      <w:r>
        <w:t xml:space="preserve"> </w:t>
      </w:r>
      <w:r>
        <w:t>This handou</w:t>
      </w:r>
      <w:r w:rsidR="00DB2B43">
        <w:t>t is based on Lacewing, M. (2009</w:t>
      </w:r>
      <w:r>
        <w:t xml:space="preserve">) </w:t>
      </w:r>
      <w:r>
        <w:rPr>
          <w:i/>
        </w:rPr>
        <w:t>Philosophy for A2: Unit 3</w:t>
      </w:r>
      <w:r w:rsidR="00DB2B43">
        <w:t>, London: Routledge, pp. 150-54.</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EEEE08" w14:textId="77777777" w:rsidR="00783952" w:rsidRDefault="004B78EF" w:rsidP="00783952">
    <w:pPr>
      <w:pStyle w:val="Header"/>
      <w:jc w:val="right"/>
    </w:pPr>
  </w:p>
  <w:p w14:paraId="732E60BA" w14:textId="77777777" w:rsidR="00783952" w:rsidRDefault="004B78EF" w:rsidP="00783952">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816D7A" w14:textId="77777777" w:rsidR="00783952" w:rsidRDefault="004B78EF" w:rsidP="00783952">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4A51C546" w14:textId="77777777" w:rsidR="00783952" w:rsidRDefault="004B78EF" w:rsidP="00783952">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4B78EF"/>
    <w:rsid w:val="00625009"/>
    <w:rsid w:val="00DB2B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1EFA91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33B17"/>
    <w:rPr>
      <w:rFonts w:ascii="Garamond" w:hAnsi="Garamond"/>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character" w:styleId="Emphasis">
    <w:name w:val="Emphasis"/>
    <w:qFormat/>
    <w:rsid w:val="00783952"/>
    <w:rPr>
      <w:i/>
      <w:iCs/>
    </w:rPr>
  </w:style>
  <w:style w:type="paragraph" w:customStyle="1" w:styleId="Text">
    <w:name w:val="Text"/>
    <w:basedOn w:val="Normal"/>
    <w:autoRedefine/>
    <w:rsid w:val="00A839F1"/>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paragraph" w:styleId="FootnoteText">
    <w:name w:val="footnote text"/>
    <w:basedOn w:val="Normal"/>
    <w:link w:val="FootnoteTextChar"/>
    <w:uiPriority w:val="99"/>
    <w:unhideWhenUsed/>
    <w:rsid w:val="00625009"/>
  </w:style>
  <w:style w:type="character" w:customStyle="1" w:styleId="FootnoteTextChar">
    <w:name w:val="Footnote Text Char"/>
    <w:link w:val="FootnoteText"/>
    <w:uiPriority w:val="99"/>
    <w:rsid w:val="00625009"/>
    <w:rPr>
      <w:rFonts w:ascii="Garamond" w:hAnsi="Garamond"/>
      <w:sz w:val="24"/>
      <w:szCs w:val="24"/>
      <w:lang w:val="en-GB"/>
    </w:rPr>
  </w:style>
  <w:style w:type="character" w:styleId="FootnoteReference">
    <w:name w:val="footnote reference"/>
    <w:uiPriority w:val="99"/>
    <w:unhideWhenUsed/>
    <w:rsid w:val="0062500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3</Pages>
  <Words>920</Words>
  <Characters>5249</Characters>
  <Application>Microsoft Macintosh Word</Application>
  <DocSecurity>0</DocSecurity>
  <Lines>43</Lines>
  <Paragraphs>12</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A priori intuition and demonstration</vt:lpstr>
      <vt:lpstr>Phenomenalism </vt:lpstr>
      <vt:lpstr>Mill’s phenomenalism</vt:lpstr>
      <vt:lpstr>Ayer’s linguistic phenomenalism</vt:lpstr>
      <vt:lpstr>Objections to phenomenalism</vt:lpstr>
    </vt:vector>
  </TitlesOfParts>
  <LinksUpToDate>false</LinksUpToDate>
  <CharactersWithSpaces>6157</CharactersWithSpaces>
  <SharedDoc>false</SharedDoc>
  <HLinks>
    <vt:vector size="12" baseType="variant">
      <vt:variant>
        <vt:i4>3145792</vt:i4>
      </vt:variant>
      <vt:variant>
        <vt:i4>7694</vt:i4>
      </vt:variant>
      <vt:variant>
        <vt:i4>1025</vt:i4>
      </vt:variant>
      <vt:variant>
        <vt:i4>1</vt:i4>
      </vt:variant>
      <vt:variant>
        <vt:lpwstr>ROUT_Logo_Black</vt:lpwstr>
      </vt:variant>
      <vt:variant>
        <vt:lpwstr/>
      </vt:variant>
      <vt:variant>
        <vt:i4>720908</vt:i4>
      </vt:variant>
      <vt:variant>
        <vt:i4>7752</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2017-12-31T15:14:00Z</dcterms:created>
  <dcterms:modified xsi:type="dcterms:W3CDTF">2017-12-31T15:14:00Z</dcterms:modified>
</cp:coreProperties>
</file>