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56571A" w14:textId="77777777" w:rsidR="00D74719" w:rsidRPr="004031E7" w:rsidRDefault="00B256DC" w:rsidP="00D74719">
      <w:pPr>
        <w:pStyle w:val="Title"/>
        <w:rPr>
          <w:rFonts w:ascii="Trebuchet MS" w:hAnsi="Trebuchet MS"/>
          <w:szCs w:val="22"/>
        </w:rPr>
      </w:pPr>
      <w:r w:rsidRPr="004031E7">
        <w:rPr>
          <w:rFonts w:ascii="Trebuchet MS" w:hAnsi="Trebuchet MS"/>
        </w:rPr>
        <w:t>The distinction between reasons and causes</w:t>
      </w:r>
      <w:r w:rsidR="004031E7" w:rsidRPr="004031E7">
        <w:rPr>
          <w:rStyle w:val="FootnoteReference"/>
          <w:rFonts w:ascii="Trebuchet MS" w:hAnsi="Trebuchet MS"/>
        </w:rPr>
        <w:footnoteReference w:id="1"/>
      </w:r>
    </w:p>
    <w:p w14:paraId="105857E4" w14:textId="77777777" w:rsidR="004031E7" w:rsidRPr="004031E7" w:rsidRDefault="004031E7" w:rsidP="00D74719">
      <w:pPr>
        <w:pStyle w:val="Heading1"/>
        <w:rPr>
          <w:rFonts w:ascii="Trebuchet MS" w:hAnsi="Trebuchet MS"/>
        </w:rPr>
      </w:pPr>
    </w:p>
    <w:p w14:paraId="28307855" w14:textId="77777777" w:rsidR="00D74719" w:rsidRPr="004031E7" w:rsidRDefault="00B256DC" w:rsidP="00D74719">
      <w:pPr>
        <w:pStyle w:val="Heading1"/>
        <w:rPr>
          <w:rFonts w:ascii="Trebuchet MS" w:hAnsi="Trebuchet MS"/>
        </w:rPr>
      </w:pPr>
      <w:r w:rsidRPr="004031E7">
        <w:rPr>
          <w:rFonts w:ascii="Trebuchet MS" w:hAnsi="Trebuchet MS"/>
        </w:rPr>
        <w:t>Action and causation</w:t>
      </w:r>
    </w:p>
    <w:p w14:paraId="668518B0" w14:textId="77777777" w:rsidR="00D74719" w:rsidRPr="004031E7" w:rsidRDefault="00B256DC" w:rsidP="00D74719">
      <w:pPr>
        <w:pStyle w:val="Text"/>
        <w:rPr>
          <w:rFonts w:ascii="Trebuchet MS" w:hAnsi="Trebuchet MS"/>
        </w:rPr>
      </w:pPr>
      <w:r w:rsidRPr="004031E7">
        <w:rPr>
          <w:rFonts w:ascii="Trebuchet MS" w:hAnsi="Trebuchet MS"/>
        </w:rPr>
        <w:t xml:space="preserve">Are our actions caused? Intuitively, we say ‘yes’; we explain our actions in terms of motivation, and it </w:t>
      </w:r>
      <w:r w:rsidRPr="004031E7">
        <w:rPr>
          <w:rFonts w:ascii="Trebuchet MS" w:hAnsi="Trebuchet MS"/>
        </w:rPr>
        <w:t xml:space="preserve">is natural to think of motivation as a kind of causation. Motivation – being moved – can feel like a psychological ‘force’, which is a causal idea; motivation makes things happen. </w:t>
      </w:r>
    </w:p>
    <w:p w14:paraId="1B11008A" w14:textId="77777777" w:rsidR="00D74719" w:rsidRPr="004031E7" w:rsidRDefault="00B256DC" w:rsidP="00D74719">
      <w:pPr>
        <w:pStyle w:val="Text"/>
        <w:rPr>
          <w:rFonts w:ascii="Trebuchet MS" w:hAnsi="Trebuchet MS"/>
        </w:rPr>
      </w:pPr>
    </w:p>
    <w:p w14:paraId="764E777C" w14:textId="77777777" w:rsidR="00D74719" w:rsidRPr="004031E7" w:rsidRDefault="00B256DC" w:rsidP="00D74719">
      <w:pPr>
        <w:pStyle w:val="Text"/>
        <w:rPr>
          <w:rFonts w:ascii="Trebuchet MS" w:hAnsi="Trebuchet MS"/>
        </w:rPr>
      </w:pPr>
      <w:r w:rsidRPr="004031E7">
        <w:rPr>
          <w:rFonts w:ascii="Trebuchet MS" w:hAnsi="Trebuchet MS"/>
        </w:rPr>
        <w:t>Notice that we use statements like ‘If he had wanted to learn, he wouldn’t</w:t>
      </w:r>
      <w:r w:rsidRPr="004031E7">
        <w:rPr>
          <w:rFonts w:ascii="Trebuchet MS" w:hAnsi="Trebuchet MS"/>
        </w:rPr>
        <w:t xml:space="preserve"> have thrown away his books’, and ‘If he were to want a drink, he would go to the kitchen’ – expressing the kind of regularity involved in causation. The same motives produce the same actions, at least in similar situations. (If the action is different, th</w:t>
      </w:r>
      <w:r w:rsidRPr="004031E7">
        <w:rPr>
          <w:rFonts w:ascii="Trebuchet MS" w:hAnsi="Trebuchet MS"/>
        </w:rPr>
        <w:t xml:space="preserve">en we appeal to different causes or situation.) </w:t>
      </w:r>
    </w:p>
    <w:p w14:paraId="3B4AC995" w14:textId="77777777" w:rsidR="00D74719" w:rsidRPr="004031E7" w:rsidRDefault="00B256DC" w:rsidP="00D74719">
      <w:pPr>
        <w:pStyle w:val="Text"/>
        <w:rPr>
          <w:rFonts w:ascii="Trebuchet MS" w:hAnsi="Trebuchet MS"/>
        </w:rPr>
      </w:pPr>
    </w:p>
    <w:p w14:paraId="3F242495" w14:textId="77777777" w:rsidR="00D74719" w:rsidRPr="004031E7" w:rsidRDefault="00B256DC" w:rsidP="00D74719">
      <w:pPr>
        <w:pStyle w:val="Text"/>
        <w:rPr>
          <w:rFonts w:ascii="Trebuchet MS" w:hAnsi="Trebuchet MS"/>
        </w:rPr>
      </w:pPr>
      <w:r w:rsidRPr="004031E7">
        <w:rPr>
          <w:rFonts w:ascii="Trebuchet MS" w:hAnsi="Trebuchet MS"/>
        </w:rPr>
        <w:t xml:space="preserve">We rely on this regularity all the time. We expect that others will, in their </w:t>
      </w:r>
      <w:r w:rsidRPr="004031E7">
        <w:rPr>
          <w:rFonts w:ascii="Trebuchet MS" w:hAnsi="Trebuchet MS"/>
          <w:i/>
          <w:iCs/>
        </w:rPr>
        <w:t>voluntary</w:t>
      </w:r>
      <w:r w:rsidRPr="004031E7">
        <w:rPr>
          <w:rFonts w:ascii="Trebuchet MS" w:hAnsi="Trebuchet MS"/>
        </w:rPr>
        <w:t xml:space="preserve"> actions, act in very specific ways, e.g. in taking goods to market, I expect others to come, to want to buy, and so on</w:t>
      </w:r>
      <w:r w:rsidRPr="004031E7">
        <w:rPr>
          <w:rFonts w:ascii="Trebuchet MS" w:hAnsi="Trebuchet MS"/>
        </w:rPr>
        <w:t>. People’s choices and actions are regular.</w:t>
      </w:r>
    </w:p>
    <w:p w14:paraId="689C3E98" w14:textId="77777777" w:rsidR="00D74719" w:rsidRPr="004031E7" w:rsidRDefault="00B256DC" w:rsidP="00D74719">
      <w:pPr>
        <w:pStyle w:val="Text"/>
        <w:rPr>
          <w:rFonts w:ascii="Trebuchet MS" w:hAnsi="Trebuchet MS"/>
        </w:rPr>
      </w:pPr>
    </w:p>
    <w:p w14:paraId="4D1A3E96" w14:textId="77777777" w:rsidR="00D74719" w:rsidRPr="004031E7" w:rsidRDefault="00B256DC" w:rsidP="00D74719">
      <w:pPr>
        <w:pStyle w:val="Text"/>
        <w:rPr>
          <w:rFonts w:ascii="Trebuchet MS" w:hAnsi="Trebuchet MS"/>
          <w:szCs w:val="22"/>
        </w:rPr>
      </w:pPr>
      <w:r w:rsidRPr="004031E7">
        <w:rPr>
          <w:rFonts w:ascii="Trebuchet MS" w:hAnsi="Trebuchet MS"/>
        </w:rPr>
        <w:t>Determinism threatens free will like this: Our actions are events. Therefore, they have causes. Given the causes they have, no action is possible other than what we actually do. If we couldn’t do any other actio</w:t>
      </w:r>
      <w:r w:rsidRPr="004031E7">
        <w:rPr>
          <w:rFonts w:ascii="Trebuchet MS" w:hAnsi="Trebuchet MS"/>
        </w:rPr>
        <w:t>n, then we do not have free will, e.g. to choose between doing different actions. The argument can be run at the level of choices as well: our choices are events, and so have causes. Given those causes, only one choice is possible. So we are not free to ch</w:t>
      </w:r>
      <w:r w:rsidRPr="004031E7">
        <w:rPr>
          <w:rFonts w:ascii="Trebuchet MS" w:hAnsi="Trebuchet MS"/>
        </w:rPr>
        <w:t>oose anything other than what we actually choose.</w:t>
      </w:r>
    </w:p>
    <w:p w14:paraId="02DFD384" w14:textId="77777777" w:rsidR="00D74719" w:rsidRPr="004031E7" w:rsidRDefault="00B256DC" w:rsidP="00D74719">
      <w:pPr>
        <w:pStyle w:val="Text"/>
        <w:rPr>
          <w:rFonts w:ascii="Trebuchet MS" w:hAnsi="Trebuchet MS"/>
        </w:rPr>
      </w:pPr>
    </w:p>
    <w:p w14:paraId="5FC22C51" w14:textId="77777777" w:rsidR="00D74719" w:rsidRPr="004031E7" w:rsidRDefault="00B256DC" w:rsidP="00D74719">
      <w:pPr>
        <w:pStyle w:val="Heading2"/>
        <w:rPr>
          <w:rFonts w:ascii="Trebuchet MS" w:hAnsi="Trebuchet MS"/>
        </w:rPr>
      </w:pPr>
      <w:r w:rsidRPr="004031E7">
        <w:rPr>
          <w:rFonts w:ascii="Trebuchet MS" w:hAnsi="Trebuchet MS"/>
        </w:rPr>
        <w:t>An important contrast</w:t>
      </w:r>
    </w:p>
    <w:p w14:paraId="372B1691" w14:textId="77777777" w:rsidR="00D74719" w:rsidRPr="004031E7" w:rsidRDefault="00B256DC" w:rsidP="00D74719">
      <w:pPr>
        <w:pStyle w:val="Text"/>
        <w:rPr>
          <w:rFonts w:ascii="Trebuchet MS" w:hAnsi="Trebuchet MS"/>
        </w:rPr>
      </w:pPr>
      <w:r w:rsidRPr="004031E7">
        <w:rPr>
          <w:rFonts w:ascii="Trebuchet MS" w:hAnsi="Trebuchet MS"/>
        </w:rPr>
        <w:t xml:space="preserve">There is, however, a very important difference between action and physical (or ‘natural’) causation, between what we </w:t>
      </w:r>
      <w:r w:rsidRPr="004031E7">
        <w:rPr>
          <w:rFonts w:ascii="Trebuchet MS" w:hAnsi="Trebuchet MS"/>
          <w:i/>
        </w:rPr>
        <w:t>do</w:t>
      </w:r>
      <w:r w:rsidRPr="004031E7">
        <w:rPr>
          <w:rFonts w:ascii="Trebuchet MS" w:hAnsi="Trebuchet MS"/>
        </w:rPr>
        <w:t xml:space="preserve"> and things that just </w:t>
      </w:r>
      <w:r w:rsidRPr="004031E7">
        <w:rPr>
          <w:rFonts w:ascii="Trebuchet MS" w:hAnsi="Trebuchet MS"/>
          <w:i/>
        </w:rPr>
        <w:t>happen</w:t>
      </w:r>
      <w:r w:rsidRPr="004031E7">
        <w:rPr>
          <w:rFonts w:ascii="Trebuchet MS" w:hAnsi="Trebuchet MS"/>
        </w:rPr>
        <w:t xml:space="preserve">. Take the example of crop circles. </w:t>
      </w:r>
      <w:r w:rsidRPr="004031E7">
        <w:rPr>
          <w:rFonts w:ascii="Trebuchet MS" w:hAnsi="Trebuchet MS"/>
        </w:rPr>
        <w:t>Some people explain them in terms of natural forces, such as whirlwinds or a peculiar magnetic phenomenon. Once we have established the cause and how it works, we have explained crop circles – end of story. It is quite different to explain them in terms of</w:t>
      </w:r>
      <w:r w:rsidRPr="004031E7">
        <w:rPr>
          <w:rFonts w:ascii="Trebuchet MS" w:hAnsi="Trebuchet MS"/>
        </w:rPr>
        <w:t xml:space="preserve"> people deliberately creating them. After showing </w:t>
      </w:r>
      <w:r w:rsidRPr="004031E7">
        <w:rPr>
          <w:rFonts w:ascii="Trebuchet MS" w:hAnsi="Trebuchet MS"/>
          <w:i/>
        </w:rPr>
        <w:t>that</w:t>
      </w:r>
      <w:r w:rsidRPr="004031E7">
        <w:rPr>
          <w:rFonts w:ascii="Trebuchet MS" w:hAnsi="Trebuchet MS"/>
        </w:rPr>
        <w:t xml:space="preserve"> someone created a crop circle, we can ask </w:t>
      </w:r>
      <w:r w:rsidRPr="004031E7">
        <w:rPr>
          <w:rFonts w:ascii="Trebuchet MS" w:hAnsi="Trebuchet MS"/>
          <w:i/>
        </w:rPr>
        <w:t>why</w:t>
      </w:r>
      <w:r w:rsidRPr="004031E7">
        <w:rPr>
          <w:rFonts w:ascii="Trebuchet MS" w:hAnsi="Trebuchet MS"/>
        </w:rPr>
        <w:t xml:space="preserve"> they did, how successful they are in creating a particular design, and so on. Unlike natural events, actions don’t just happen.</w:t>
      </w:r>
    </w:p>
    <w:p w14:paraId="0B0D7BD1" w14:textId="77777777" w:rsidR="00D74719" w:rsidRPr="004031E7" w:rsidRDefault="00B256DC" w:rsidP="00D74719">
      <w:pPr>
        <w:pStyle w:val="Text"/>
        <w:rPr>
          <w:rFonts w:ascii="Trebuchet MS" w:hAnsi="Trebuchet MS"/>
        </w:rPr>
      </w:pPr>
    </w:p>
    <w:p w14:paraId="1F53AAD0" w14:textId="77777777" w:rsidR="00D74719" w:rsidRPr="004031E7" w:rsidRDefault="00B256DC" w:rsidP="00D74719">
      <w:pPr>
        <w:pStyle w:val="Text"/>
        <w:rPr>
          <w:rFonts w:ascii="Trebuchet MS" w:hAnsi="Trebuchet MS"/>
        </w:rPr>
      </w:pPr>
      <w:r w:rsidRPr="004031E7">
        <w:rPr>
          <w:rFonts w:ascii="Trebuchet MS" w:hAnsi="Trebuchet MS"/>
        </w:rPr>
        <w:t>We can develop this idea b</w:t>
      </w:r>
      <w:r w:rsidRPr="004031E7">
        <w:rPr>
          <w:rFonts w:ascii="Trebuchet MS" w:hAnsi="Trebuchet MS"/>
        </w:rPr>
        <w:t xml:space="preserve">y noting another distinction – between what we do and what happens to us. Compare deliberately pushing someone over and accidentally knocking them over, e.g. because you trip. In both cases, your body moves in a particular way and has the same effect. But </w:t>
      </w:r>
      <w:r w:rsidRPr="004031E7">
        <w:rPr>
          <w:rFonts w:ascii="Trebuchet MS" w:hAnsi="Trebuchet MS"/>
        </w:rPr>
        <w:t xml:space="preserve">in one case, you do something, and you move your body, and in the other, something </w:t>
      </w:r>
      <w:r w:rsidRPr="004031E7">
        <w:rPr>
          <w:rFonts w:ascii="Trebuchet MS" w:hAnsi="Trebuchet MS"/>
        </w:rPr>
        <w:lastRenderedPageBreak/>
        <w:t xml:space="preserve">happens to you, and the movement of your body is imposed. When you do something, what you do is </w:t>
      </w:r>
      <w:r w:rsidRPr="004031E7">
        <w:rPr>
          <w:rFonts w:ascii="Trebuchet MS" w:hAnsi="Trebuchet MS"/>
          <w:i/>
        </w:rPr>
        <w:t>intentional</w:t>
      </w:r>
      <w:r w:rsidRPr="004031E7">
        <w:rPr>
          <w:rFonts w:ascii="Trebuchet MS" w:hAnsi="Trebuchet MS"/>
        </w:rPr>
        <w:t xml:space="preserve"> – you intended it and brought it about. When something happens to</w:t>
      </w:r>
      <w:r w:rsidRPr="004031E7">
        <w:rPr>
          <w:rFonts w:ascii="Trebuchet MS" w:hAnsi="Trebuchet MS"/>
        </w:rPr>
        <w:t xml:space="preserve"> you, what follows is not intentional – it just happened.</w:t>
      </w:r>
    </w:p>
    <w:p w14:paraId="67CCB5A4" w14:textId="77777777" w:rsidR="00D74719" w:rsidRPr="004031E7" w:rsidRDefault="00B256DC" w:rsidP="00D74719">
      <w:pPr>
        <w:pStyle w:val="Text"/>
        <w:rPr>
          <w:rFonts w:ascii="Trebuchet MS" w:hAnsi="Trebuchet MS"/>
        </w:rPr>
      </w:pPr>
    </w:p>
    <w:p w14:paraId="33614ABE" w14:textId="77777777" w:rsidR="00D74719" w:rsidRPr="004031E7" w:rsidRDefault="00B256DC" w:rsidP="00D74719">
      <w:pPr>
        <w:pStyle w:val="Text"/>
        <w:rPr>
          <w:rFonts w:ascii="Trebuchet MS" w:hAnsi="Trebuchet MS"/>
        </w:rPr>
      </w:pPr>
      <w:r w:rsidRPr="004031E7">
        <w:rPr>
          <w:rFonts w:ascii="Trebuchet MS" w:hAnsi="Trebuchet MS"/>
        </w:rPr>
        <w:t xml:space="preserve">These two distinctions are the basis for a third contrast between action and natural causation. We are </w:t>
      </w:r>
      <w:r w:rsidRPr="004031E7">
        <w:rPr>
          <w:rFonts w:ascii="Trebuchet MS" w:hAnsi="Trebuchet MS"/>
          <w:i/>
        </w:rPr>
        <w:t>responsible</w:t>
      </w:r>
      <w:r w:rsidRPr="004031E7">
        <w:rPr>
          <w:rFonts w:ascii="Trebuchet MS" w:hAnsi="Trebuchet MS"/>
        </w:rPr>
        <w:t xml:space="preserve"> for our actions, but natural causes are not responsible for their effects. For exa</w:t>
      </w:r>
      <w:r w:rsidRPr="004031E7">
        <w:rPr>
          <w:rFonts w:ascii="Trebuchet MS" w:hAnsi="Trebuchet MS"/>
        </w:rPr>
        <w:t>mple, people who create crop circles can be blamed for destroying crops or praised for their creativity. If a crop circle is created by a whirlwind, the wind can’t be praised or blamed.</w:t>
      </w:r>
    </w:p>
    <w:p w14:paraId="367D1FA9" w14:textId="77777777" w:rsidR="00D74719" w:rsidRPr="004031E7" w:rsidRDefault="00B256DC" w:rsidP="00D74719">
      <w:pPr>
        <w:pStyle w:val="Text"/>
        <w:rPr>
          <w:rFonts w:ascii="Trebuchet MS" w:hAnsi="Trebuchet MS"/>
        </w:rPr>
      </w:pPr>
    </w:p>
    <w:p w14:paraId="7934588E" w14:textId="77777777" w:rsidR="00D74719" w:rsidRPr="004031E7" w:rsidRDefault="00B256DC" w:rsidP="00D74719">
      <w:pPr>
        <w:pStyle w:val="Heading1"/>
        <w:rPr>
          <w:rFonts w:ascii="Trebuchet MS" w:hAnsi="Trebuchet MS"/>
        </w:rPr>
      </w:pPr>
      <w:r w:rsidRPr="004031E7">
        <w:rPr>
          <w:rFonts w:ascii="Trebuchet MS" w:hAnsi="Trebuchet MS"/>
        </w:rPr>
        <w:t>Reasons and causes</w:t>
      </w:r>
    </w:p>
    <w:p w14:paraId="68362855" w14:textId="77777777" w:rsidR="00D74719" w:rsidRPr="004031E7" w:rsidRDefault="00B256DC" w:rsidP="00D74719">
      <w:pPr>
        <w:pStyle w:val="Text"/>
        <w:rPr>
          <w:rFonts w:ascii="Trebuchet MS" w:hAnsi="Trebuchet MS"/>
          <w:szCs w:val="22"/>
        </w:rPr>
      </w:pPr>
      <w:r w:rsidRPr="004031E7">
        <w:rPr>
          <w:rFonts w:ascii="Trebuchet MS" w:hAnsi="Trebuchet MS"/>
          <w:szCs w:val="22"/>
        </w:rPr>
        <w:t>We can develop this distinction to defend compatib</w:t>
      </w:r>
      <w:r w:rsidRPr="004031E7">
        <w:rPr>
          <w:rFonts w:ascii="Trebuchet MS" w:hAnsi="Trebuchet MS"/>
          <w:szCs w:val="22"/>
        </w:rPr>
        <w:t>ilism. We can argue that these two ways of talking are independent of each other, so determinism does not undermine free will.</w:t>
      </w:r>
    </w:p>
    <w:p w14:paraId="00B642B0" w14:textId="77777777" w:rsidR="00D74719" w:rsidRPr="004031E7" w:rsidRDefault="00B256DC" w:rsidP="00D74719">
      <w:pPr>
        <w:pStyle w:val="Text"/>
        <w:rPr>
          <w:rFonts w:ascii="Trebuchet MS" w:hAnsi="Trebuchet MS"/>
          <w:szCs w:val="22"/>
        </w:rPr>
      </w:pPr>
    </w:p>
    <w:p w14:paraId="6B290C70" w14:textId="77777777" w:rsidR="00D74719" w:rsidRPr="004031E7" w:rsidRDefault="00B256DC" w:rsidP="00D74719">
      <w:pPr>
        <w:pStyle w:val="Text"/>
        <w:rPr>
          <w:rFonts w:ascii="Trebuchet MS" w:hAnsi="Trebuchet MS"/>
          <w:szCs w:val="22"/>
        </w:rPr>
      </w:pPr>
      <w:r w:rsidRPr="004031E7">
        <w:rPr>
          <w:rFonts w:ascii="Trebuchet MS" w:hAnsi="Trebuchet MS"/>
          <w:szCs w:val="22"/>
        </w:rPr>
        <w:t>The claim is this: to explain some occurrence as an action by giving the reasons why the person did it is logically different fr</w:t>
      </w:r>
      <w:r w:rsidRPr="004031E7">
        <w:rPr>
          <w:rFonts w:ascii="Trebuchet MS" w:hAnsi="Trebuchet MS"/>
          <w:szCs w:val="22"/>
        </w:rPr>
        <w:t>om explaining it as an effect of some (natural) cause.</w:t>
      </w:r>
    </w:p>
    <w:p w14:paraId="20CF0EDD" w14:textId="77777777" w:rsidR="00D74719" w:rsidRPr="004031E7" w:rsidRDefault="00B256DC" w:rsidP="00D74719">
      <w:pPr>
        <w:pStyle w:val="Text"/>
        <w:rPr>
          <w:rFonts w:ascii="Trebuchet MS" w:hAnsi="Trebuchet MS"/>
          <w:szCs w:val="22"/>
        </w:rPr>
      </w:pPr>
    </w:p>
    <w:p w14:paraId="427A0223" w14:textId="77777777" w:rsidR="00D74719" w:rsidRPr="004031E7" w:rsidRDefault="00B256DC" w:rsidP="00D74719">
      <w:pPr>
        <w:pStyle w:val="Text"/>
        <w:numPr>
          <w:ilvl w:val="0"/>
          <w:numId w:val="4"/>
        </w:numPr>
        <w:tabs>
          <w:tab w:val="clear" w:pos="720"/>
        </w:tabs>
        <w:ind w:left="360"/>
        <w:rPr>
          <w:rFonts w:ascii="Trebuchet MS" w:hAnsi="Trebuchet MS"/>
          <w:szCs w:val="22"/>
        </w:rPr>
      </w:pPr>
      <w:r w:rsidRPr="004031E7">
        <w:rPr>
          <w:rFonts w:ascii="Trebuchet MS" w:hAnsi="Trebuchet MS"/>
          <w:szCs w:val="22"/>
        </w:rPr>
        <w:t>Causes precede their effects in time. Reasons do not need to – if I give money to charity because it helps the needy, ‘charity helps the needy’ is not something ‘occurs’ before I give money (it doesn’</w:t>
      </w:r>
      <w:r w:rsidRPr="004031E7">
        <w:rPr>
          <w:rFonts w:ascii="Trebuchet MS" w:hAnsi="Trebuchet MS"/>
          <w:szCs w:val="22"/>
        </w:rPr>
        <w:t xml:space="preserve">t occur in time at all). </w:t>
      </w:r>
    </w:p>
    <w:p w14:paraId="5DB0C7FD" w14:textId="77777777" w:rsidR="00D74719" w:rsidRPr="004031E7" w:rsidRDefault="00B256DC" w:rsidP="00D74719">
      <w:pPr>
        <w:pStyle w:val="Text"/>
        <w:numPr>
          <w:ilvl w:val="0"/>
          <w:numId w:val="4"/>
        </w:numPr>
        <w:tabs>
          <w:tab w:val="clear" w:pos="720"/>
        </w:tabs>
        <w:ind w:left="360"/>
        <w:rPr>
          <w:rFonts w:ascii="Trebuchet MS" w:hAnsi="Trebuchet MS"/>
          <w:szCs w:val="22"/>
        </w:rPr>
      </w:pPr>
      <w:r w:rsidRPr="004031E7">
        <w:rPr>
          <w:rFonts w:ascii="Trebuchet MS" w:hAnsi="Trebuchet MS"/>
          <w:szCs w:val="22"/>
        </w:rPr>
        <w:t>As the example of charity shows, reasons can cite purposes – ‘in order to…’. But a causal explanation cannot cite a purpose.</w:t>
      </w:r>
    </w:p>
    <w:p w14:paraId="61F5157E" w14:textId="77777777" w:rsidR="00D74719" w:rsidRPr="004031E7" w:rsidRDefault="00B256DC" w:rsidP="00D74719">
      <w:pPr>
        <w:pStyle w:val="Text"/>
        <w:numPr>
          <w:ilvl w:val="0"/>
          <w:numId w:val="4"/>
        </w:numPr>
        <w:tabs>
          <w:tab w:val="clear" w:pos="720"/>
        </w:tabs>
        <w:ind w:left="360"/>
        <w:rPr>
          <w:rFonts w:ascii="Trebuchet MS" w:hAnsi="Trebuchet MS"/>
          <w:szCs w:val="22"/>
        </w:rPr>
      </w:pPr>
      <w:r w:rsidRPr="004031E7">
        <w:rPr>
          <w:rFonts w:ascii="Trebuchet MS" w:hAnsi="Trebuchet MS"/>
          <w:szCs w:val="22"/>
        </w:rPr>
        <w:t>Reasons can be ‘good’ or ‘bad’. Not anything can be a (good) reason to act in a certain way: ‘I hit him b</w:t>
      </w:r>
      <w:r w:rsidRPr="004031E7">
        <w:rPr>
          <w:rFonts w:ascii="Trebuchet MS" w:hAnsi="Trebuchet MS"/>
          <w:szCs w:val="22"/>
        </w:rPr>
        <w:t xml:space="preserve">ecause his socks are purple’. But a cause cannot be good or bad in the same way. If the colour of his socks caused me to hit him, then it did; but it can’t be a reason to hit him. Anything can be the cause of anything, logically speaking. This is not true </w:t>
      </w:r>
      <w:r w:rsidRPr="004031E7">
        <w:rPr>
          <w:rFonts w:ascii="Trebuchet MS" w:hAnsi="Trebuchet MS"/>
          <w:szCs w:val="22"/>
        </w:rPr>
        <w:t>of reasons.</w:t>
      </w:r>
    </w:p>
    <w:p w14:paraId="124661C9" w14:textId="77777777" w:rsidR="00D74719" w:rsidRPr="004031E7" w:rsidRDefault="00B256DC" w:rsidP="00D74719">
      <w:pPr>
        <w:pStyle w:val="Text"/>
        <w:numPr>
          <w:ilvl w:val="0"/>
          <w:numId w:val="4"/>
        </w:numPr>
        <w:tabs>
          <w:tab w:val="clear" w:pos="720"/>
        </w:tabs>
        <w:ind w:left="360"/>
        <w:rPr>
          <w:rFonts w:ascii="Trebuchet MS" w:hAnsi="Trebuchet MS"/>
          <w:szCs w:val="22"/>
        </w:rPr>
      </w:pPr>
      <w:r w:rsidRPr="004031E7">
        <w:rPr>
          <w:rFonts w:ascii="Trebuchet MS" w:hAnsi="Trebuchet MS"/>
          <w:szCs w:val="22"/>
        </w:rPr>
        <w:t>If I say ‘the cigarette caused the fire’, this entails that there was a fire. However, if I say ‘he intended to start a fire in order to keep warm’, this doesn’t entail that he actually started the fire. When we identify a cause, then the effec</w:t>
      </w:r>
      <w:r w:rsidRPr="004031E7">
        <w:rPr>
          <w:rFonts w:ascii="Trebuchet MS" w:hAnsi="Trebuchet MS"/>
          <w:szCs w:val="22"/>
        </w:rPr>
        <w:t>t must exist. When we identify an intention or a reason, the action it is an intention or reason for does not have to have occurred.</w:t>
      </w:r>
    </w:p>
    <w:p w14:paraId="31221BC9" w14:textId="77777777" w:rsidR="00D74719" w:rsidRPr="004031E7" w:rsidRDefault="00B256DC" w:rsidP="00D74719">
      <w:pPr>
        <w:pStyle w:val="Text"/>
        <w:rPr>
          <w:rFonts w:ascii="Trebuchet MS" w:hAnsi="Trebuchet MS"/>
          <w:color w:val="000000"/>
          <w:sz w:val="26"/>
        </w:rPr>
      </w:pPr>
    </w:p>
    <w:p w14:paraId="0490B79A" w14:textId="77777777" w:rsidR="00D74719" w:rsidRPr="004031E7" w:rsidRDefault="00B256DC" w:rsidP="00D74719">
      <w:pPr>
        <w:pStyle w:val="Heading1"/>
        <w:rPr>
          <w:rFonts w:ascii="Trebuchet MS" w:hAnsi="Trebuchet MS"/>
          <w:szCs w:val="22"/>
        </w:rPr>
      </w:pPr>
      <w:r w:rsidRPr="004031E7">
        <w:rPr>
          <w:rFonts w:ascii="Trebuchet MS" w:hAnsi="Trebuchet MS"/>
          <w:szCs w:val="22"/>
        </w:rPr>
        <w:t>The distinction between action and bodily movement</w:t>
      </w:r>
    </w:p>
    <w:p w14:paraId="3EE050A8" w14:textId="77777777" w:rsidR="00D74719" w:rsidRPr="004031E7" w:rsidRDefault="00B256DC" w:rsidP="00D74719">
      <w:pPr>
        <w:pStyle w:val="Text"/>
        <w:rPr>
          <w:rFonts w:ascii="Trebuchet MS" w:hAnsi="Trebuchet MS"/>
          <w:szCs w:val="22"/>
        </w:rPr>
      </w:pPr>
      <w:r w:rsidRPr="004031E7">
        <w:rPr>
          <w:rFonts w:ascii="Trebuchet MS" w:hAnsi="Trebuchet MS"/>
          <w:szCs w:val="22"/>
        </w:rPr>
        <w:t>From these differences, we can argue that to identify some occurrence a</w:t>
      </w:r>
      <w:r w:rsidRPr="004031E7">
        <w:rPr>
          <w:rFonts w:ascii="Trebuchet MS" w:hAnsi="Trebuchet MS"/>
          <w:szCs w:val="22"/>
        </w:rPr>
        <w:t>s an action and to identify it as an effect are logically independent. When we characterize something as an action, we talk of reasons and intentions. This depends on ‘rules’. For example, to say that someone moved their queen and checkmated their opponent</w:t>
      </w:r>
      <w:r w:rsidRPr="004031E7">
        <w:rPr>
          <w:rFonts w:ascii="Trebuchet MS" w:hAnsi="Trebuchet MS"/>
          <w:szCs w:val="22"/>
        </w:rPr>
        <w:t xml:space="preserve"> only makes sense in relation to the rules of chess. To say that someone got married requires us to understand marriage. To say that someone paid their bill implicitly refers to the rules that govern economic transactions. </w:t>
      </w:r>
    </w:p>
    <w:p w14:paraId="3E832256" w14:textId="77777777" w:rsidR="00D74719" w:rsidRPr="004031E7" w:rsidRDefault="00B256DC" w:rsidP="00D74719">
      <w:pPr>
        <w:pStyle w:val="Text"/>
        <w:rPr>
          <w:rFonts w:ascii="Trebuchet MS" w:hAnsi="Trebuchet MS"/>
          <w:szCs w:val="22"/>
        </w:rPr>
      </w:pPr>
    </w:p>
    <w:p w14:paraId="47C906E6" w14:textId="77777777" w:rsidR="00D74719" w:rsidRPr="004031E7" w:rsidRDefault="00B256DC" w:rsidP="00D74719">
      <w:pPr>
        <w:pStyle w:val="Text"/>
        <w:rPr>
          <w:rFonts w:ascii="Trebuchet MS" w:hAnsi="Trebuchet MS"/>
          <w:szCs w:val="22"/>
        </w:rPr>
      </w:pPr>
      <w:r w:rsidRPr="004031E7">
        <w:rPr>
          <w:rFonts w:ascii="Trebuchet MS" w:hAnsi="Trebuchet MS"/>
          <w:szCs w:val="22"/>
        </w:rPr>
        <w:t>None of these examples are phys</w:t>
      </w:r>
      <w:r w:rsidRPr="004031E7">
        <w:rPr>
          <w:rFonts w:ascii="Trebuchet MS" w:hAnsi="Trebuchet MS"/>
          <w:szCs w:val="22"/>
        </w:rPr>
        <w:t>ical processes. If you describe the physical causal sequence of someone moving a shaped piece of wood on a chequered board, you haven’t said that they moved their queen. To say someone emitted the sounds that in English mean ‘I do’ is not to say they got m</w:t>
      </w:r>
      <w:r w:rsidRPr="004031E7">
        <w:rPr>
          <w:rFonts w:ascii="Trebuchet MS" w:hAnsi="Trebuchet MS"/>
          <w:szCs w:val="22"/>
        </w:rPr>
        <w:t>arried. To say someone made a series of ink marks on a piece of paper that they then put in a post box is not to say they paid their bill. We can only say what someone did if we don’t talk at the level of bodily movements (or chemical exchanges in the brai</w:t>
      </w:r>
      <w:r w:rsidRPr="004031E7">
        <w:rPr>
          <w:rFonts w:ascii="Trebuchet MS" w:hAnsi="Trebuchet MS"/>
          <w:szCs w:val="22"/>
        </w:rPr>
        <w:t xml:space="preserve">n) but at the level of social interactions. </w:t>
      </w:r>
    </w:p>
    <w:p w14:paraId="061A6E3D" w14:textId="77777777" w:rsidR="00D74719" w:rsidRPr="004031E7" w:rsidRDefault="00B256DC" w:rsidP="00D74719">
      <w:pPr>
        <w:pStyle w:val="Text"/>
        <w:rPr>
          <w:rFonts w:ascii="Trebuchet MS" w:hAnsi="Trebuchet MS"/>
          <w:szCs w:val="22"/>
        </w:rPr>
      </w:pPr>
    </w:p>
    <w:p w14:paraId="3F03D4FB" w14:textId="77777777" w:rsidR="00D74719" w:rsidRPr="004031E7" w:rsidRDefault="00B256DC" w:rsidP="00D74719">
      <w:pPr>
        <w:pStyle w:val="Text"/>
        <w:rPr>
          <w:rFonts w:ascii="Trebuchet MS" w:hAnsi="Trebuchet MS"/>
          <w:szCs w:val="22"/>
        </w:rPr>
      </w:pPr>
      <w:r w:rsidRPr="004031E7">
        <w:rPr>
          <w:rFonts w:ascii="Trebuchet MS" w:hAnsi="Trebuchet MS"/>
          <w:szCs w:val="22"/>
        </w:rPr>
        <w:t>Bodily movements are not actions, and actions cannot be reduced to bodily movements. What action a particular bodily movement serves depends on the context. Raising one’s arm could be any number of actions – wa</w:t>
      </w:r>
      <w:r w:rsidRPr="004031E7">
        <w:rPr>
          <w:rFonts w:ascii="Trebuchet MS" w:hAnsi="Trebuchet MS"/>
          <w:szCs w:val="22"/>
        </w:rPr>
        <w:t>ving for help, making a bid at an auction, exercising. On the other hand, an action such as paying one’s bill can involve many different kinds of bodily movement – writing (a cheque), typing (on a website), talking (over the phone).</w:t>
      </w:r>
    </w:p>
    <w:p w14:paraId="110E6B37" w14:textId="77777777" w:rsidR="00D74719" w:rsidRPr="004031E7" w:rsidRDefault="00B256DC" w:rsidP="00D74719">
      <w:pPr>
        <w:pStyle w:val="Text"/>
        <w:rPr>
          <w:rFonts w:ascii="Trebuchet MS" w:hAnsi="Trebuchet MS"/>
          <w:szCs w:val="22"/>
        </w:rPr>
      </w:pPr>
    </w:p>
    <w:p w14:paraId="7133E223" w14:textId="77777777" w:rsidR="00D74719" w:rsidRPr="004031E7" w:rsidRDefault="00B256DC" w:rsidP="00D74719">
      <w:pPr>
        <w:pStyle w:val="Heading1"/>
        <w:rPr>
          <w:rFonts w:ascii="Trebuchet MS" w:hAnsi="Trebuchet MS"/>
          <w:szCs w:val="22"/>
        </w:rPr>
      </w:pPr>
      <w:r w:rsidRPr="004031E7">
        <w:rPr>
          <w:rFonts w:ascii="Trebuchet MS" w:hAnsi="Trebuchet MS"/>
          <w:szCs w:val="22"/>
        </w:rPr>
        <w:t>The argument for compa</w:t>
      </w:r>
      <w:r w:rsidRPr="004031E7">
        <w:rPr>
          <w:rFonts w:ascii="Trebuchet MS" w:hAnsi="Trebuchet MS"/>
          <w:szCs w:val="22"/>
        </w:rPr>
        <w:t>tibilism</w:t>
      </w:r>
    </w:p>
    <w:p w14:paraId="6E774BA7" w14:textId="77777777" w:rsidR="00D74719" w:rsidRPr="004031E7" w:rsidRDefault="00B256DC" w:rsidP="00D74719">
      <w:pPr>
        <w:pStyle w:val="Text"/>
        <w:rPr>
          <w:rFonts w:ascii="Trebuchet MS" w:hAnsi="Trebuchet MS"/>
          <w:szCs w:val="22"/>
        </w:rPr>
      </w:pPr>
      <w:r w:rsidRPr="004031E7">
        <w:rPr>
          <w:rFonts w:ascii="Trebuchet MS" w:hAnsi="Trebuchet MS"/>
          <w:szCs w:val="22"/>
        </w:rPr>
        <w:t>The compatibilist can argue that the determinist is trying to reduce everything to the language of causes, to force us to talk about actions in terms of cause and effect. But we can’t do this. Talking about actions is not reducible to talking abou</w:t>
      </w:r>
      <w:r w:rsidRPr="004031E7">
        <w:rPr>
          <w:rFonts w:ascii="Trebuchet MS" w:hAnsi="Trebuchet MS"/>
          <w:szCs w:val="22"/>
        </w:rPr>
        <w:t>t effects. If we talk about physical causes and effects, we lose sight of people and their actions. Having free will relates to people and their actions. So it is logically independent of determinism.</w:t>
      </w:r>
    </w:p>
    <w:p w14:paraId="719E3815" w14:textId="77777777" w:rsidR="00D74719" w:rsidRPr="004031E7" w:rsidRDefault="00B256DC" w:rsidP="00D74719">
      <w:pPr>
        <w:pStyle w:val="Text"/>
        <w:rPr>
          <w:rFonts w:ascii="Trebuchet MS" w:hAnsi="Trebuchet MS"/>
          <w:szCs w:val="22"/>
        </w:rPr>
      </w:pPr>
    </w:p>
    <w:p w14:paraId="5DDA658E" w14:textId="77777777" w:rsidR="00D74719" w:rsidRPr="004031E7" w:rsidRDefault="00B256DC" w:rsidP="00D74719">
      <w:pPr>
        <w:pStyle w:val="Text"/>
        <w:rPr>
          <w:rFonts w:ascii="Trebuchet MS" w:hAnsi="Trebuchet MS"/>
          <w:szCs w:val="22"/>
        </w:rPr>
      </w:pPr>
      <w:r w:rsidRPr="004031E7">
        <w:rPr>
          <w:rFonts w:ascii="Trebuchet MS" w:hAnsi="Trebuchet MS"/>
          <w:szCs w:val="22"/>
        </w:rPr>
        <w:t xml:space="preserve">We can object that this leaves us with a puzzle. Even </w:t>
      </w:r>
      <w:r w:rsidRPr="004031E7">
        <w:rPr>
          <w:rFonts w:ascii="Trebuchet MS" w:hAnsi="Trebuchet MS"/>
          <w:szCs w:val="22"/>
        </w:rPr>
        <w:t xml:space="preserve">if the distinction between actions and bodily movements, reasons and causes, is right, this might not defend free will. Actions involve bodily movements, and the compatibilist accepts that the bodily movements are causally determined. But in that case, no </w:t>
      </w:r>
      <w:r w:rsidRPr="004031E7">
        <w:rPr>
          <w:rFonts w:ascii="Trebuchet MS" w:hAnsi="Trebuchet MS"/>
          <w:szCs w:val="22"/>
        </w:rPr>
        <w:t>other bodily movement is possible at a particular time from the one that occurred. If I raise my arm, then whether this is bidding, or waving, or exercising, I could not have not raised my arm. How, then, do I have free will? To become an argument for free</w:t>
      </w:r>
      <w:r w:rsidRPr="004031E7">
        <w:rPr>
          <w:rFonts w:ascii="Trebuchet MS" w:hAnsi="Trebuchet MS"/>
          <w:szCs w:val="22"/>
        </w:rPr>
        <w:t xml:space="preserve"> will, perhaps the distinction between reasons and causes needs to be supplemented by other compatibilist accounts. </w:t>
      </w:r>
    </w:p>
    <w:p w14:paraId="1E76D008" w14:textId="77777777" w:rsidR="00D74719" w:rsidRPr="004031E7" w:rsidDel="005073C4" w:rsidRDefault="00B256DC" w:rsidP="00D74719">
      <w:pPr>
        <w:pStyle w:val="Text"/>
        <w:rPr>
          <w:rFonts w:ascii="Trebuchet MS" w:hAnsi="Trebuchet MS"/>
        </w:rPr>
      </w:pPr>
    </w:p>
    <w:p w14:paraId="4F177568" w14:textId="77777777" w:rsidR="00D74719" w:rsidRPr="004031E7" w:rsidRDefault="00B256DC" w:rsidP="00D74719">
      <w:pPr>
        <w:pStyle w:val="Heading1"/>
        <w:rPr>
          <w:rFonts w:ascii="Trebuchet MS" w:hAnsi="Trebuchet MS"/>
        </w:rPr>
      </w:pPr>
      <w:r w:rsidRPr="004031E7">
        <w:rPr>
          <w:rFonts w:ascii="Trebuchet MS" w:hAnsi="Trebuchet MS"/>
        </w:rPr>
        <w:t>Determinism as undermining rationality</w:t>
      </w:r>
    </w:p>
    <w:p w14:paraId="520000F4" w14:textId="77777777" w:rsidR="00D74719" w:rsidRPr="004031E7" w:rsidRDefault="00B256DC" w:rsidP="00D74719">
      <w:pPr>
        <w:pStyle w:val="Text"/>
        <w:rPr>
          <w:rFonts w:ascii="Trebuchet MS" w:hAnsi="Trebuchet MS"/>
        </w:rPr>
      </w:pPr>
      <w:r w:rsidRPr="004031E7">
        <w:rPr>
          <w:rFonts w:ascii="Trebuchet MS" w:hAnsi="Trebuchet MS"/>
        </w:rPr>
        <w:t xml:space="preserve">We can use the idea and importance of reasons to object to determinism in a different way. In this </w:t>
      </w:r>
      <w:r w:rsidRPr="004031E7">
        <w:rPr>
          <w:rFonts w:ascii="Trebuchet MS" w:hAnsi="Trebuchet MS"/>
        </w:rPr>
        <w:t>argument, we appeal to reasons for believing, rather than reasons for acting or choosing.</w:t>
      </w:r>
    </w:p>
    <w:p w14:paraId="6531793D" w14:textId="77777777" w:rsidR="00D74719" w:rsidRPr="004031E7" w:rsidRDefault="00B256DC" w:rsidP="00D74719">
      <w:pPr>
        <w:pStyle w:val="Text"/>
        <w:rPr>
          <w:rFonts w:ascii="Trebuchet MS" w:hAnsi="Trebuchet MS"/>
        </w:rPr>
      </w:pPr>
    </w:p>
    <w:p w14:paraId="360508E1" w14:textId="77777777" w:rsidR="00D74719" w:rsidRPr="004031E7" w:rsidRDefault="00B256DC" w:rsidP="00D74719">
      <w:pPr>
        <w:pStyle w:val="Text"/>
        <w:rPr>
          <w:rFonts w:ascii="Trebuchet MS" w:hAnsi="Trebuchet MS"/>
        </w:rPr>
      </w:pPr>
      <w:r w:rsidRPr="004031E7">
        <w:rPr>
          <w:rFonts w:ascii="Trebuchet MS" w:hAnsi="Trebuchet MS"/>
        </w:rPr>
        <w:t>If determinism is true, and incompatible with free will, no one ever freely chooses to be a determinist. No one ever freely chooses to believe in free will either. T</w:t>
      </w:r>
      <w:r w:rsidRPr="004031E7">
        <w:rPr>
          <w:rFonts w:ascii="Trebuchet MS" w:hAnsi="Trebuchet MS"/>
        </w:rPr>
        <w:t>o make a judgment, to form a belief, these are also actions – mental actions. If determinism is true, the beliefs we have are causally determined just as much as the actions we do.</w:t>
      </w:r>
    </w:p>
    <w:p w14:paraId="7A3272E8" w14:textId="77777777" w:rsidR="00D74719" w:rsidRPr="004031E7" w:rsidRDefault="00B256DC" w:rsidP="00D74719">
      <w:pPr>
        <w:pStyle w:val="Text"/>
        <w:rPr>
          <w:rFonts w:ascii="Trebuchet MS" w:hAnsi="Trebuchet MS"/>
        </w:rPr>
      </w:pPr>
    </w:p>
    <w:p w14:paraId="7C6F1FF2" w14:textId="77777777" w:rsidR="00D74719" w:rsidRPr="004031E7" w:rsidRDefault="00B256DC" w:rsidP="00D74719">
      <w:pPr>
        <w:pStyle w:val="Text"/>
        <w:rPr>
          <w:rFonts w:ascii="Trebuchet MS" w:hAnsi="Trebuchet MS"/>
        </w:rPr>
      </w:pPr>
      <w:r w:rsidRPr="004031E7">
        <w:rPr>
          <w:rFonts w:ascii="Trebuchet MS" w:hAnsi="Trebuchet MS"/>
        </w:rPr>
        <w:t xml:space="preserve">This has a strange result. Suppose I believe that the theory of evolution </w:t>
      </w:r>
      <w:r w:rsidRPr="004031E7">
        <w:rPr>
          <w:rFonts w:ascii="Trebuchet MS" w:hAnsi="Trebuchet MS"/>
        </w:rPr>
        <w:t>is true. I have read books about evolution and arguments against evolution; I have been to museums and seen fossils; I have discussed the issue with creationists and scientists. On the basis of the evidence, I judge that the theory of evolution is true. Bu</w:t>
      </w:r>
      <w:r w:rsidRPr="004031E7">
        <w:rPr>
          <w:rFonts w:ascii="Trebuchet MS" w:hAnsi="Trebuchet MS"/>
        </w:rPr>
        <w:t>t if determinism is true, I am causally determined to have this belief, so I do not have it because I freely judge that the theory of evolution is true. Instead, I cannot (or could not) believe otherwise.</w:t>
      </w:r>
    </w:p>
    <w:p w14:paraId="4E2975E2" w14:textId="77777777" w:rsidR="00D74719" w:rsidRPr="004031E7" w:rsidRDefault="00B256DC" w:rsidP="00D74719">
      <w:pPr>
        <w:pStyle w:val="Text"/>
        <w:rPr>
          <w:rFonts w:ascii="Trebuchet MS" w:hAnsi="Trebuchet MS"/>
        </w:rPr>
      </w:pPr>
    </w:p>
    <w:p w14:paraId="279C3964" w14:textId="77777777" w:rsidR="00D74719" w:rsidRPr="004031E7" w:rsidRDefault="00B256DC" w:rsidP="00D74719">
      <w:pPr>
        <w:pStyle w:val="Text"/>
        <w:rPr>
          <w:rFonts w:ascii="Trebuchet MS" w:hAnsi="Trebuchet MS"/>
        </w:rPr>
      </w:pPr>
      <w:r w:rsidRPr="004031E7">
        <w:rPr>
          <w:rFonts w:ascii="Trebuchet MS" w:hAnsi="Trebuchet MS"/>
        </w:rPr>
        <w:t xml:space="preserve">If this is right, then I don’t form the belief on </w:t>
      </w:r>
      <w:r w:rsidRPr="004031E7">
        <w:rPr>
          <w:rFonts w:ascii="Trebuchet MS" w:hAnsi="Trebuchet MS"/>
        </w:rPr>
        <w:t>the basis of reasons I consider. In fact, the whole idea of a reason seems to disappear. To give someone a reason to believe something, to show them evidence, is not to cause them to believe in a deterministic way. It is certainly not to force them to beli</w:t>
      </w:r>
      <w:r w:rsidRPr="004031E7">
        <w:rPr>
          <w:rFonts w:ascii="Trebuchet MS" w:hAnsi="Trebuchet MS"/>
        </w:rPr>
        <w:t>eve the way we can force them to fall over by pushing them. They can weigh up the evidence and make up their minds, we say. But this is causally determined, according to determinism.</w:t>
      </w:r>
    </w:p>
    <w:p w14:paraId="2F528673" w14:textId="77777777" w:rsidR="00D74719" w:rsidRPr="004031E7" w:rsidRDefault="00B256DC" w:rsidP="00D74719">
      <w:pPr>
        <w:pStyle w:val="Text"/>
        <w:rPr>
          <w:rFonts w:ascii="Trebuchet MS" w:hAnsi="Trebuchet MS"/>
        </w:rPr>
      </w:pPr>
    </w:p>
    <w:p w14:paraId="0BFCAA72" w14:textId="77777777" w:rsidR="00D74719" w:rsidRPr="004031E7" w:rsidRDefault="00B256DC" w:rsidP="00D74719">
      <w:pPr>
        <w:pStyle w:val="Text"/>
        <w:rPr>
          <w:rFonts w:ascii="Trebuchet MS" w:hAnsi="Trebuchet MS"/>
        </w:rPr>
      </w:pPr>
      <w:r w:rsidRPr="004031E7">
        <w:rPr>
          <w:rFonts w:ascii="Trebuchet MS" w:hAnsi="Trebuchet MS"/>
        </w:rPr>
        <w:t>Suppose we apply this result to beliefs about determinism. First, no one</w:t>
      </w:r>
      <w:r w:rsidRPr="004031E7">
        <w:rPr>
          <w:rFonts w:ascii="Trebuchet MS" w:hAnsi="Trebuchet MS"/>
        </w:rPr>
        <w:t xml:space="preserve"> ever freely judges that determinism is true or false. Second, if you try to convince someone that determinism is true, you do not provide evidence that enables them to make up their minds. Either the argument you give will cause them to believe in determi</w:t>
      </w:r>
      <w:r w:rsidRPr="004031E7">
        <w:rPr>
          <w:rFonts w:ascii="Trebuchet MS" w:hAnsi="Trebuchet MS"/>
        </w:rPr>
        <w:t>nism or it will not; if it does, this isn’t because they judge that your reasons are convincing. Rather, they could not believe anything else. Which arguments cause people to believe in determinism may have nothing to do with whether the arguments are rati</w:t>
      </w:r>
      <w:r w:rsidRPr="004031E7">
        <w:rPr>
          <w:rFonts w:ascii="Trebuchet MS" w:hAnsi="Trebuchet MS"/>
        </w:rPr>
        <w:t>onal, and may be different for different people. So there are no good arguments for (or against) determinism, only arguments that cause people to believe in it and arguments that don’t.</w:t>
      </w:r>
    </w:p>
    <w:p w14:paraId="77238185" w14:textId="77777777" w:rsidR="00D74719" w:rsidRPr="004031E7" w:rsidRDefault="00B256DC" w:rsidP="00D74719">
      <w:pPr>
        <w:pStyle w:val="Text"/>
        <w:rPr>
          <w:rFonts w:ascii="Trebuchet MS" w:hAnsi="Trebuchet MS"/>
        </w:rPr>
      </w:pPr>
    </w:p>
    <w:p w14:paraId="282CCEAB" w14:textId="77777777" w:rsidR="00D74719" w:rsidRPr="004031E7" w:rsidRDefault="00B256DC" w:rsidP="00D74719">
      <w:pPr>
        <w:pStyle w:val="Text"/>
        <w:rPr>
          <w:rFonts w:ascii="Trebuchet MS" w:hAnsi="Trebuchet MS"/>
        </w:rPr>
      </w:pPr>
      <w:r w:rsidRPr="004031E7">
        <w:rPr>
          <w:rFonts w:ascii="Trebuchet MS" w:hAnsi="Trebuchet MS"/>
        </w:rPr>
        <w:t xml:space="preserve">We can turn this into an objection: if determinism is true, there is </w:t>
      </w:r>
      <w:r w:rsidRPr="004031E7">
        <w:rPr>
          <w:rFonts w:ascii="Trebuchet MS" w:hAnsi="Trebuchet MS"/>
        </w:rPr>
        <w:t>no such thing as reasoning. However, the arguments for determinism show that there is such a thing as reasoning. Therefore determinism must be false.</w:t>
      </w:r>
    </w:p>
    <w:p w14:paraId="5A0139A1" w14:textId="77777777" w:rsidR="00D74719" w:rsidRPr="004031E7" w:rsidRDefault="00B256DC" w:rsidP="00D74719">
      <w:pPr>
        <w:pStyle w:val="Text"/>
        <w:rPr>
          <w:rFonts w:ascii="Trebuchet MS" w:hAnsi="Trebuchet MS"/>
        </w:rPr>
      </w:pPr>
    </w:p>
    <w:p w14:paraId="7C0CC893" w14:textId="77777777" w:rsidR="00D74719" w:rsidRPr="004031E7" w:rsidDel="005073C4" w:rsidRDefault="00B256DC" w:rsidP="00D74719">
      <w:pPr>
        <w:pStyle w:val="Text"/>
        <w:rPr>
          <w:rFonts w:ascii="Trebuchet MS" w:hAnsi="Trebuchet MS"/>
        </w:rPr>
      </w:pPr>
      <w:r w:rsidRPr="004031E7">
        <w:rPr>
          <w:rFonts w:ascii="Trebuchet MS" w:hAnsi="Trebuchet MS"/>
        </w:rPr>
        <w:t>In fact, this conclusion only follows if determinism is incompatible with judgment. Compatibilism will re</w:t>
      </w:r>
      <w:r w:rsidRPr="004031E7">
        <w:rPr>
          <w:rFonts w:ascii="Trebuchet MS" w:hAnsi="Trebuchet MS"/>
        </w:rPr>
        <w:t>ject this, and so reject the conclusion. But the objection does apply to hard determinism, the position that claims that because determinism is true, we don’t form beliefs freely on the basis of judgment.</w:t>
      </w:r>
      <w:bookmarkStart w:id="0" w:name="_GoBack"/>
      <w:bookmarkEnd w:id="0"/>
    </w:p>
    <w:sectPr w:rsidR="00D74719" w:rsidRPr="004031E7" w:rsidDel="005073C4" w:rsidSect="00D74719">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39FFB1" w14:textId="77777777" w:rsidR="00B256DC" w:rsidRDefault="00B256DC">
      <w:r>
        <w:separator/>
      </w:r>
    </w:p>
  </w:endnote>
  <w:endnote w:type="continuationSeparator" w:id="0">
    <w:p w14:paraId="3F26A2D0" w14:textId="77777777" w:rsidR="00B256DC" w:rsidRDefault="00B25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136FFF" w14:textId="77777777" w:rsidR="00B256DC" w:rsidRDefault="00B256DC">
      <w:r>
        <w:separator/>
      </w:r>
    </w:p>
  </w:footnote>
  <w:footnote w:type="continuationSeparator" w:id="0">
    <w:p w14:paraId="1FA0F1CA" w14:textId="77777777" w:rsidR="00B256DC" w:rsidRDefault="00B256DC">
      <w:r>
        <w:continuationSeparator/>
      </w:r>
    </w:p>
  </w:footnote>
  <w:footnote w:id="1">
    <w:p w14:paraId="30BD3D9A" w14:textId="77777777" w:rsidR="004031E7" w:rsidRDefault="004031E7">
      <w:pPr>
        <w:pStyle w:val="FootnoteText"/>
      </w:pPr>
      <w:r>
        <w:rPr>
          <w:rStyle w:val="FootnoteReference"/>
        </w:rPr>
        <w:footnoteRef/>
      </w:r>
      <w:r>
        <w:t xml:space="preserve"> </w:t>
      </w:r>
      <w:r>
        <w:t xml:space="preserve">This handout is based on Lacewing, M. (2008) </w:t>
      </w:r>
      <w:r>
        <w:rPr>
          <w:i/>
        </w:rPr>
        <w:t>Philosophy for AS</w:t>
      </w:r>
      <w:r>
        <w:t xml:space="preserve">, London: Routledge, pp. 353-54, </w:t>
      </w:r>
      <w:r>
        <w:t>365-67</w:t>
      </w:r>
      <w:r>
        <w:t>, 386-88.</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E8B139" w14:textId="77777777" w:rsidR="00D74719" w:rsidRDefault="00B256DC" w:rsidP="00D74719">
    <w:pPr>
      <w:pStyle w:val="Header"/>
      <w:jc w:val="right"/>
    </w:pPr>
  </w:p>
  <w:p w14:paraId="28E3DF7B" w14:textId="77777777" w:rsidR="00D74719" w:rsidRDefault="00B256DC" w:rsidP="00D74719">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BEDEC6" w14:textId="77777777" w:rsidR="00D74719" w:rsidRDefault="00B256DC" w:rsidP="00D74719">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51751FA1" w14:textId="77777777" w:rsidR="00D74719" w:rsidRDefault="00B256DC" w:rsidP="00D74719">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727E84"/>
    <w:multiLevelType w:val="hybridMultilevel"/>
    <w:tmpl w:val="20607A04"/>
    <w:lvl w:ilvl="0" w:tplc="1AFA3C64">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47B40D24"/>
    <w:multiLevelType w:val="hybridMultilevel"/>
    <w:tmpl w:val="C3E25356"/>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nsid w:val="62995199"/>
    <w:multiLevelType w:val="hybridMultilevel"/>
    <w:tmpl w:val="527CED4C"/>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4031E7"/>
    <w:rsid w:val="00B25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777C29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F766A"/>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4031E7"/>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4031E7"/>
    <w:rPr>
      <w:sz w:val="24"/>
      <w:szCs w:val="24"/>
      <w:lang w:val="en-GB"/>
    </w:rPr>
  </w:style>
  <w:style w:type="character" w:styleId="FootnoteReference">
    <w:name w:val="footnote reference"/>
    <w:uiPriority w:val="99"/>
    <w:unhideWhenUsed/>
    <w:rsid w:val="004031E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4</Pages>
  <Words>1546</Words>
  <Characters>8814</Characters>
  <Application>Microsoft Macintosh Word</Application>
  <DocSecurity>0</DocSecurity>
  <Lines>73</Lines>
  <Paragraphs>20</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A priori intuition and demonstration</vt:lpstr>
      <vt:lpstr>The distinction between reasons and causes</vt:lpstr>
      <vt:lpstr>Action and causation</vt:lpstr>
      <vt:lpstr>    An important contrast</vt:lpstr>
      <vt:lpstr>Reasons and causes</vt:lpstr>
      <vt:lpstr>The distinction between action and bodily movement</vt:lpstr>
      <vt:lpstr>The argument for compatibilism</vt:lpstr>
      <vt:lpstr>Determinism as undermining rationality</vt:lpstr>
    </vt:vector>
  </TitlesOfParts>
  <LinksUpToDate>false</LinksUpToDate>
  <CharactersWithSpaces>10340</CharactersWithSpaces>
  <SharedDoc>false</SharedDoc>
  <HLinks>
    <vt:vector size="12" baseType="variant">
      <vt:variant>
        <vt:i4>3145792</vt:i4>
      </vt:variant>
      <vt:variant>
        <vt:i4>11984</vt:i4>
      </vt:variant>
      <vt:variant>
        <vt:i4>1025</vt:i4>
      </vt:variant>
      <vt:variant>
        <vt:i4>1</vt:i4>
      </vt:variant>
      <vt:variant>
        <vt:lpwstr>ROUT_Logo_Black</vt:lpwstr>
      </vt:variant>
      <vt:variant>
        <vt:lpwstr/>
      </vt:variant>
      <vt:variant>
        <vt:i4>720908</vt:i4>
      </vt:variant>
      <vt:variant>
        <vt:i4>12042</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2008-04-22T12:53:00Z</cp:lastPrinted>
  <dcterms:created xsi:type="dcterms:W3CDTF">2017-12-31T12:06:00Z</dcterms:created>
  <dcterms:modified xsi:type="dcterms:W3CDTF">2017-12-31T12:06:00Z</dcterms:modified>
</cp:coreProperties>
</file>