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971A36B" w14:textId="77777777" w:rsidR="00005F13" w:rsidRPr="00E74CD6" w:rsidRDefault="00005F13" w:rsidP="00005F13">
      <w:pPr>
        <w:pStyle w:val="Title"/>
        <w:rPr>
          <w:rFonts w:ascii="Trebuchet MS" w:hAnsi="Trebuchet MS"/>
        </w:rPr>
      </w:pPr>
      <w:r w:rsidRPr="00E74CD6">
        <w:rPr>
          <w:rFonts w:ascii="Trebuchet MS" w:hAnsi="Trebuchet MS"/>
        </w:rPr>
        <w:t>Doubt: a Wittgensteinian approach</w:t>
      </w:r>
    </w:p>
    <w:p w14:paraId="6796EFE6" w14:textId="77777777" w:rsidR="00005F13" w:rsidRPr="00E74CD6" w:rsidRDefault="00005F13" w:rsidP="00005F13">
      <w:pPr>
        <w:tabs>
          <w:tab w:val="left" w:pos="-720"/>
        </w:tabs>
        <w:jc w:val="both"/>
        <w:rPr>
          <w:rFonts w:ascii="Trebuchet MS" w:hAnsi="Trebuchet MS"/>
          <w:spacing w:val="-3"/>
          <w:lang w:val="en-GB"/>
        </w:rPr>
      </w:pPr>
      <w:bookmarkStart w:id="0" w:name="_GoBack"/>
      <w:bookmarkEnd w:id="0"/>
    </w:p>
    <w:p w14:paraId="247E34F4" w14:textId="77777777" w:rsidR="00005F13" w:rsidRPr="00E74CD6" w:rsidRDefault="00005F13" w:rsidP="00005F13">
      <w:pPr>
        <w:tabs>
          <w:tab w:val="left" w:pos="-720"/>
        </w:tabs>
        <w:jc w:val="both"/>
        <w:rPr>
          <w:rFonts w:ascii="Trebuchet MS" w:hAnsi="Trebuchet MS"/>
          <w:spacing w:val="-3"/>
          <w:lang w:val="en-GB"/>
        </w:rPr>
      </w:pPr>
      <w:r w:rsidRPr="00E74CD6">
        <w:rPr>
          <w:rFonts w:ascii="Trebuchet MS" w:hAnsi="Trebuchet MS"/>
          <w:spacing w:val="-3"/>
          <w:lang w:val="en-GB"/>
        </w:rPr>
        <w:t xml:space="preserve">Scepticism can get started by reflecting on </w:t>
      </w:r>
      <w:r w:rsidRPr="00E74CD6">
        <w:rPr>
          <w:rFonts w:ascii="Trebuchet MS" w:hAnsi="Trebuchet MS"/>
          <w:i/>
          <w:spacing w:val="-3"/>
          <w:lang w:val="en-GB"/>
        </w:rPr>
        <w:t>how</w:t>
      </w:r>
      <w:r w:rsidRPr="00E74CD6">
        <w:rPr>
          <w:rFonts w:ascii="Trebuchet MS" w:hAnsi="Trebuchet MS"/>
          <w:spacing w:val="-3"/>
          <w:lang w:val="en-GB"/>
        </w:rPr>
        <w:t xml:space="preserve"> we know what we think we know. We discover judgments it seems silly to doubt, but for which we seem to have no clear justification, for example the existence of a world outside my mind. Couldn’t my experience be identical if I were dreaming or if I were a brain in a vat being ‘fed’ experiences? Do I know that none of these apparent possibilities is the case? So how can I say I know there is an external world? But if I don’t know </w:t>
      </w:r>
      <w:r w:rsidRPr="00E74CD6">
        <w:rPr>
          <w:rFonts w:ascii="Trebuchet MS" w:hAnsi="Trebuchet MS"/>
          <w:i/>
          <w:spacing w:val="-3"/>
          <w:lang w:val="en-GB"/>
        </w:rPr>
        <w:t>that</w:t>
      </w:r>
      <w:r w:rsidRPr="00E74CD6">
        <w:rPr>
          <w:rFonts w:ascii="Trebuchet MS" w:hAnsi="Trebuchet MS"/>
          <w:spacing w:val="-3"/>
          <w:lang w:val="en-GB"/>
        </w:rPr>
        <w:t>, how can I know anything?</w:t>
      </w:r>
    </w:p>
    <w:p w14:paraId="18C24BC9" w14:textId="77777777" w:rsidR="00005F13" w:rsidRPr="00E74CD6" w:rsidRDefault="00005F13" w:rsidP="00005F13">
      <w:pPr>
        <w:tabs>
          <w:tab w:val="left" w:pos="-720"/>
        </w:tabs>
        <w:jc w:val="both"/>
        <w:rPr>
          <w:rFonts w:ascii="Trebuchet MS" w:hAnsi="Trebuchet MS"/>
          <w:spacing w:val="-3"/>
          <w:lang w:val="en-GB"/>
        </w:rPr>
      </w:pPr>
    </w:p>
    <w:p w14:paraId="70E21B02" w14:textId="77777777" w:rsidR="00005F13" w:rsidRPr="00E74CD6" w:rsidRDefault="00005F13" w:rsidP="00005F13">
      <w:pPr>
        <w:tabs>
          <w:tab w:val="left" w:pos="-720"/>
        </w:tabs>
        <w:jc w:val="both"/>
        <w:rPr>
          <w:rFonts w:ascii="Trebuchet MS" w:hAnsi="Trebuchet MS"/>
          <w:spacing w:val="-3"/>
          <w:lang w:val="en-GB"/>
        </w:rPr>
      </w:pPr>
      <w:r w:rsidRPr="00E74CD6">
        <w:rPr>
          <w:rFonts w:ascii="Trebuchet MS" w:hAnsi="Trebuchet MS"/>
          <w:spacing w:val="-3"/>
          <w:lang w:val="en-GB"/>
        </w:rPr>
        <w:t>These apparently unjustified assumptions form an unquestioned background to our usual enquiry about the world. Wittgenstein gives a variety of examples of the sorts of claims we just don’t doubt: ‘That is a tree’, ‘12x12=144’, ‘I have never been on the moon’, ‘I have two hands’, ‘The world existed before my birth’, and ‘These are English words’. If we are certain of anything, we are certain of these examples (</w:t>
      </w:r>
      <w:r w:rsidRPr="00E74CD6">
        <w:rPr>
          <w:rFonts w:ascii="Trebuchet MS" w:hAnsi="Trebuchet MS"/>
          <w:i/>
          <w:iCs/>
          <w:spacing w:val="-3"/>
          <w:lang w:val="en-GB"/>
        </w:rPr>
        <w:t>On Certainty</w:t>
      </w:r>
      <w:r w:rsidRPr="00E74CD6">
        <w:rPr>
          <w:rFonts w:ascii="Trebuchet MS" w:hAnsi="Trebuchet MS"/>
          <w:spacing w:val="-3"/>
          <w:lang w:val="en-GB"/>
        </w:rPr>
        <w:t>, 250). Surely, also, if we know anything, we know these to be true. Don’t we?</w:t>
      </w:r>
    </w:p>
    <w:p w14:paraId="2D331663" w14:textId="77777777" w:rsidR="00005F13" w:rsidRPr="00E74CD6" w:rsidRDefault="00005F13" w:rsidP="00005F13">
      <w:pPr>
        <w:tabs>
          <w:tab w:val="left" w:pos="-720"/>
        </w:tabs>
        <w:jc w:val="both"/>
        <w:rPr>
          <w:rFonts w:ascii="Trebuchet MS" w:hAnsi="Trebuchet MS"/>
          <w:spacing w:val="-3"/>
          <w:lang w:val="en-GB"/>
        </w:rPr>
      </w:pPr>
    </w:p>
    <w:p w14:paraId="1BEE94C8" w14:textId="77777777" w:rsidR="00005F13" w:rsidRPr="00E74CD6" w:rsidRDefault="00005F13" w:rsidP="00005F13">
      <w:pPr>
        <w:pStyle w:val="Heading1"/>
        <w:rPr>
          <w:rFonts w:ascii="Trebuchet MS" w:hAnsi="Trebuchet MS"/>
        </w:rPr>
      </w:pPr>
      <w:r w:rsidRPr="00E74CD6">
        <w:rPr>
          <w:rFonts w:ascii="Trebuchet MS" w:hAnsi="Trebuchet MS"/>
        </w:rPr>
        <w:t>The peculiarity of scepticism</w:t>
      </w:r>
    </w:p>
    <w:p w14:paraId="2ACE74B4" w14:textId="77777777" w:rsidR="00005F13" w:rsidRPr="00E74CD6" w:rsidRDefault="00005F13" w:rsidP="00005F13">
      <w:pPr>
        <w:tabs>
          <w:tab w:val="left" w:pos="-720"/>
        </w:tabs>
        <w:jc w:val="both"/>
        <w:rPr>
          <w:rFonts w:ascii="Trebuchet MS" w:hAnsi="Trebuchet MS"/>
          <w:spacing w:val="-3"/>
          <w:lang w:val="en-GB"/>
        </w:rPr>
      </w:pPr>
      <w:r w:rsidRPr="00E74CD6">
        <w:rPr>
          <w:rFonts w:ascii="Trebuchet MS" w:hAnsi="Trebuchet MS"/>
          <w:spacing w:val="-3"/>
          <w:lang w:val="en-GB"/>
        </w:rPr>
        <w:t xml:space="preserve">Philosophical sceptical doubts are peculiar. They don’t make sense in everyday circumstances. </w:t>
      </w:r>
      <w:r w:rsidRPr="00E74CD6">
        <w:rPr>
          <w:rFonts w:ascii="Trebuchet MS" w:hAnsi="Trebuchet MS"/>
        </w:rPr>
        <w:t xml:space="preserve">Of course, if I’ve just been in an accident, and can’t feel my left arm, doubting whether I have two hands does make sense! But the sceptic is not interested in these propositions when we have an ‘everyday reason’ to doubt them. The sceptic’s reason for doubting them does not arise from a particular context - it is a general doubt as to their justifiability. </w:t>
      </w:r>
      <w:r w:rsidRPr="00E74CD6">
        <w:rPr>
          <w:rFonts w:ascii="Trebuchet MS" w:hAnsi="Trebuchet MS"/>
          <w:spacing w:val="-3"/>
          <w:lang w:val="en-GB"/>
        </w:rPr>
        <w:t xml:space="preserve">The sceptic admits that there is no everyday reason to doubt whether there is an external world. We may wonder whether this sort of sceptical doubt </w:t>
      </w:r>
      <w:r w:rsidRPr="00E74CD6">
        <w:rPr>
          <w:rFonts w:ascii="Trebuchet MS" w:hAnsi="Trebuchet MS"/>
          <w:i/>
          <w:spacing w:val="-3"/>
          <w:lang w:val="en-GB"/>
        </w:rPr>
        <w:t>is</w:t>
      </w:r>
      <w:r w:rsidRPr="00E74CD6">
        <w:rPr>
          <w:rFonts w:ascii="Trebuchet MS" w:hAnsi="Trebuchet MS"/>
          <w:spacing w:val="-3"/>
          <w:lang w:val="en-GB"/>
        </w:rPr>
        <w:t xml:space="preserve"> doubt; it has no practical consequences, after all. A philosophical sceptic is not an extreme variety of the cautious person! Yet the sceptic insists that her doubts are relevant; the standards of ‘knowing’ are not being changed here - we </w:t>
      </w:r>
      <w:r w:rsidRPr="00E74CD6">
        <w:rPr>
          <w:rFonts w:ascii="Trebuchet MS" w:hAnsi="Trebuchet MS"/>
          <w:i/>
          <w:spacing w:val="-3"/>
          <w:lang w:val="en-GB"/>
        </w:rPr>
        <w:t>should</w:t>
      </w:r>
      <w:r w:rsidRPr="00E74CD6">
        <w:rPr>
          <w:rFonts w:ascii="Trebuchet MS" w:hAnsi="Trebuchet MS"/>
          <w:spacing w:val="-3"/>
          <w:lang w:val="en-GB"/>
        </w:rPr>
        <w:t xml:space="preserve"> know that we are not brains in vats to know that ‘This is a hand.’ Surely the reason this sort of doubt is peculiar is not because it is illegitimate, but because we are not usually reflective in this way (for a start, it’s not practical). And yet we might still think that it is ‘unreasonable’ to have such doubts.</w:t>
      </w:r>
    </w:p>
    <w:p w14:paraId="4D5FF222" w14:textId="77777777" w:rsidR="00005F13" w:rsidRPr="00E74CD6" w:rsidRDefault="00005F13" w:rsidP="00005F13">
      <w:pPr>
        <w:tabs>
          <w:tab w:val="left" w:pos="-720"/>
        </w:tabs>
        <w:jc w:val="both"/>
        <w:rPr>
          <w:rFonts w:ascii="Trebuchet MS" w:hAnsi="Trebuchet MS"/>
          <w:spacing w:val="-3"/>
          <w:lang w:val="en-GB"/>
        </w:rPr>
      </w:pPr>
    </w:p>
    <w:p w14:paraId="74D8ECE6" w14:textId="77777777" w:rsidR="00005F13" w:rsidRPr="00E74CD6" w:rsidRDefault="00005F13" w:rsidP="00005F13">
      <w:pPr>
        <w:tabs>
          <w:tab w:val="left" w:pos="-720"/>
        </w:tabs>
        <w:jc w:val="both"/>
        <w:rPr>
          <w:rFonts w:ascii="Trebuchet MS" w:hAnsi="Trebuchet MS"/>
          <w:spacing w:val="-3"/>
          <w:lang w:val="en-GB"/>
        </w:rPr>
      </w:pPr>
      <w:r w:rsidRPr="00E74CD6">
        <w:rPr>
          <w:rFonts w:ascii="Trebuchet MS" w:hAnsi="Trebuchet MS"/>
          <w:spacing w:val="-3"/>
          <w:lang w:val="en-GB"/>
        </w:rPr>
        <w:t xml:space="preserve">However, just as the doubt seems peculiar, so does the claim ‘I know this is a hand’. A claim to know implies the speaker believes she has genuine information that others may lack. That might explain </w:t>
      </w:r>
      <w:r w:rsidR="00E74CD6" w:rsidRPr="00E74CD6">
        <w:rPr>
          <w:rFonts w:ascii="Trebuchet MS" w:hAnsi="Trebuchet MS"/>
          <w:spacing w:val="-3"/>
          <w:lang w:val="en-GB"/>
        </w:rPr>
        <w:t>its</w:t>
      </w:r>
      <w:r w:rsidRPr="00E74CD6">
        <w:rPr>
          <w:rFonts w:ascii="Trebuchet MS" w:hAnsi="Trebuchet MS"/>
          <w:spacing w:val="-3"/>
          <w:lang w:val="en-GB"/>
        </w:rPr>
        <w:t xml:space="preserve"> peculiarity; but Wittgenstein goes further and suggests that it is a mistake to say ‘I know this is a hand’. Knowledge claims require grounds. But what evidence or expertise is there for ‘This is a hand’?! What checks are possible? Grounds need to be independent of and more certain than the knowledge-claim, and they provide reasons for thinking it true.</w:t>
      </w:r>
    </w:p>
    <w:p w14:paraId="410518A2" w14:textId="77777777" w:rsidR="00005F13" w:rsidRPr="00E74CD6" w:rsidRDefault="00005F13" w:rsidP="00005F13">
      <w:pPr>
        <w:tabs>
          <w:tab w:val="left" w:pos="-720"/>
        </w:tabs>
        <w:jc w:val="both"/>
        <w:rPr>
          <w:rFonts w:ascii="Trebuchet MS" w:hAnsi="Trebuchet MS"/>
          <w:spacing w:val="-3"/>
          <w:lang w:val="en-GB"/>
        </w:rPr>
      </w:pPr>
    </w:p>
    <w:p w14:paraId="7B8EDA09" w14:textId="77777777" w:rsidR="00005F13" w:rsidRPr="00E74CD6" w:rsidRDefault="00005F13" w:rsidP="00005F13">
      <w:pPr>
        <w:pStyle w:val="Heading1"/>
        <w:rPr>
          <w:rFonts w:ascii="Trebuchet MS" w:hAnsi="Trebuchet MS"/>
        </w:rPr>
      </w:pPr>
      <w:r w:rsidRPr="00E74CD6">
        <w:rPr>
          <w:rFonts w:ascii="Trebuchet MS" w:hAnsi="Trebuchet MS"/>
        </w:rPr>
        <w:lastRenderedPageBreak/>
        <w:t>What do I ‘know’?</w:t>
      </w:r>
    </w:p>
    <w:p w14:paraId="324F8DA5" w14:textId="77777777" w:rsidR="00005F13" w:rsidRPr="00E74CD6" w:rsidRDefault="00005F13" w:rsidP="00005F13">
      <w:pPr>
        <w:tabs>
          <w:tab w:val="left" w:pos="-720"/>
        </w:tabs>
        <w:jc w:val="both"/>
        <w:rPr>
          <w:rFonts w:ascii="Trebuchet MS" w:hAnsi="Trebuchet MS"/>
          <w:spacing w:val="-3"/>
          <w:lang w:val="en-GB"/>
        </w:rPr>
      </w:pPr>
      <w:r w:rsidRPr="00E74CD6">
        <w:rPr>
          <w:rFonts w:ascii="Trebuchet MS" w:hAnsi="Trebuchet MS"/>
          <w:spacing w:val="-3"/>
          <w:lang w:val="en-GB"/>
        </w:rPr>
        <w:t xml:space="preserve">We may diagnose the peculiarity of ‘I know this is a hand’ as indicating, not that we </w:t>
      </w:r>
      <w:r w:rsidRPr="00E74CD6">
        <w:rPr>
          <w:rFonts w:ascii="Trebuchet MS" w:hAnsi="Trebuchet MS"/>
          <w:i/>
          <w:iCs/>
          <w:spacing w:val="-3"/>
          <w:lang w:val="en-GB"/>
        </w:rPr>
        <w:t>don’t</w:t>
      </w:r>
      <w:r w:rsidRPr="00E74CD6">
        <w:rPr>
          <w:rFonts w:ascii="Trebuchet MS" w:hAnsi="Trebuchet MS"/>
          <w:spacing w:val="-3"/>
          <w:lang w:val="en-GB"/>
        </w:rPr>
        <w:t xml:space="preserve"> know the background assumptions of our usual enquiries, but that we are rarely, if ever, in a position to </w:t>
      </w:r>
      <w:r w:rsidRPr="00E74CD6">
        <w:rPr>
          <w:rFonts w:ascii="Trebuchet MS" w:hAnsi="Trebuchet MS"/>
          <w:i/>
          <w:iCs/>
          <w:spacing w:val="-3"/>
          <w:lang w:val="en-GB"/>
        </w:rPr>
        <w:t>assert</w:t>
      </w:r>
      <w:r w:rsidRPr="00E74CD6">
        <w:rPr>
          <w:rFonts w:ascii="Trebuchet MS" w:hAnsi="Trebuchet MS"/>
          <w:spacing w:val="-3"/>
          <w:lang w:val="en-GB"/>
        </w:rPr>
        <w:t xml:space="preserve"> them sensibly. If knowledge requires grounds, then perhaps all our experience grounds such claims.</w:t>
      </w:r>
    </w:p>
    <w:p w14:paraId="30F9CEE1" w14:textId="77777777" w:rsidR="00005F13" w:rsidRPr="00E74CD6" w:rsidRDefault="00005F13" w:rsidP="00005F13">
      <w:pPr>
        <w:tabs>
          <w:tab w:val="left" w:pos="-720"/>
        </w:tabs>
        <w:jc w:val="both"/>
        <w:rPr>
          <w:rFonts w:ascii="Trebuchet MS" w:hAnsi="Trebuchet MS"/>
          <w:spacing w:val="-3"/>
          <w:lang w:val="en-GB"/>
        </w:rPr>
      </w:pPr>
    </w:p>
    <w:p w14:paraId="7A8262B4" w14:textId="77777777" w:rsidR="00005F13" w:rsidRPr="00E74CD6" w:rsidRDefault="00005F13" w:rsidP="00005F13">
      <w:pPr>
        <w:tabs>
          <w:tab w:val="left" w:pos="-720"/>
        </w:tabs>
        <w:jc w:val="both"/>
        <w:rPr>
          <w:rFonts w:ascii="Trebuchet MS" w:hAnsi="Trebuchet MS"/>
          <w:spacing w:val="-3"/>
          <w:lang w:val="en-GB"/>
        </w:rPr>
      </w:pPr>
      <w:r w:rsidRPr="00E74CD6">
        <w:rPr>
          <w:rFonts w:ascii="Trebuchet MS" w:hAnsi="Trebuchet MS"/>
          <w:spacing w:val="-3"/>
          <w:lang w:val="en-GB"/>
        </w:rPr>
        <w:t xml:space="preserve">This move doesn’t work, though. That I see that this is a hand is not good grounds for the claim that I know this is a hand in the light of the sceptical challenge – for on what grounds can I assert that my experience is a good guide to how things really are? Not my experience, for this is to beg the question! I can only say that it </w:t>
      </w:r>
      <w:r w:rsidRPr="00E74CD6">
        <w:rPr>
          <w:rFonts w:ascii="Trebuchet MS" w:hAnsi="Trebuchet MS"/>
          <w:i/>
          <w:spacing w:val="-3"/>
          <w:lang w:val="en-GB"/>
        </w:rPr>
        <w:t>appears</w:t>
      </w:r>
      <w:r w:rsidRPr="00E74CD6">
        <w:rPr>
          <w:rFonts w:ascii="Trebuchet MS" w:hAnsi="Trebuchet MS"/>
          <w:spacing w:val="-3"/>
          <w:lang w:val="en-GB"/>
        </w:rPr>
        <w:t xml:space="preserve"> that this is a hand. And without knowing that appearance is a reliable guide to reality, this is not enough to support my claim that I know this is a hand. Such general claims as appearance is a good guide to reality seem insupportable because </w:t>
      </w:r>
      <w:r w:rsidRPr="00E74CD6">
        <w:rPr>
          <w:rFonts w:ascii="Trebuchet MS" w:hAnsi="Trebuchet MS"/>
          <w:i/>
          <w:iCs/>
          <w:spacing w:val="-3"/>
          <w:lang w:val="en-GB"/>
        </w:rPr>
        <w:t>nothing</w:t>
      </w:r>
      <w:r w:rsidRPr="00E74CD6">
        <w:rPr>
          <w:rFonts w:ascii="Trebuchet MS" w:hAnsi="Trebuchet MS"/>
          <w:spacing w:val="-3"/>
          <w:lang w:val="en-GB"/>
        </w:rPr>
        <w:t xml:space="preserve"> can count as evidence for them – all evidence presupposes them. My </w:t>
      </w:r>
      <w:r w:rsidRPr="00E74CD6">
        <w:rPr>
          <w:rFonts w:ascii="Trebuchet MS" w:hAnsi="Trebuchet MS"/>
          <w:i/>
          <w:iCs/>
          <w:spacing w:val="-3"/>
          <w:lang w:val="en-GB"/>
        </w:rPr>
        <w:t>certainty</w:t>
      </w:r>
      <w:r w:rsidRPr="00E74CD6">
        <w:rPr>
          <w:rFonts w:ascii="Trebuchet MS" w:hAnsi="Trebuchet MS"/>
          <w:spacing w:val="-3"/>
          <w:lang w:val="en-GB"/>
        </w:rPr>
        <w:t xml:space="preserve"> is not enough to provide knowledge, and pointing to the unreasonableness of sceptical doubt does not meet the sceptical challenge, which does not suggest that there is any reason to </w:t>
      </w:r>
      <w:r w:rsidRPr="00E74CD6">
        <w:rPr>
          <w:rFonts w:ascii="Trebuchet MS" w:hAnsi="Trebuchet MS"/>
          <w:i/>
          <w:iCs/>
          <w:spacing w:val="-3"/>
          <w:lang w:val="en-GB"/>
        </w:rPr>
        <w:t>believe</w:t>
      </w:r>
      <w:r w:rsidRPr="00E74CD6">
        <w:rPr>
          <w:rFonts w:ascii="Trebuchet MS" w:hAnsi="Trebuchet MS"/>
          <w:spacing w:val="-3"/>
          <w:lang w:val="en-GB"/>
        </w:rPr>
        <w:t xml:space="preserve"> in sceptical possibilities, but requests that we </w:t>
      </w:r>
      <w:r w:rsidRPr="00E74CD6">
        <w:rPr>
          <w:rFonts w:ascii="Trebuchet MS" w:hAnsi="Trebuchet MS"/>
          <w:i/>
          <w:iCs/>
          <w:spacing w:val="-3"/>
          <w:lang w:val="en-GB"/>
        </w:rPr>
        <w:t>rule them out</w:t>
      </w:r>
      <w:r w:rsidRPr="00E74CD6">
        <w:rPr>
          <w:rFonts w:ascii="Trebuchet MS" w:hAnsi="Trebuchet MS"/>
          <w:spacing w:val="-3"/>
          <w:lang w:val="en-GB"/>
        </w:rPr>
        <w:t xml:space="preserve"> as possibilities.</w:t>
      </w:r>
    </w:p>
    <w:p w14:paraId="771192D7" w14:textId="77777777" w:rsidR="00005F13" w:rsidRPr="00E74CD6" w:rsidRDefault="00005F13" w:rsidP="00005F13">
      <w:pPr>
        <w:tabs>
          <w:tab w:val="left" w:pos="-720"/>
        </w:tabs>
        <w:jc w:val="both"/>
        <w:rPr>
          <w:rFonts w:ascii="Trebuchet MS" w:hAnsi="Trebuchet MS"/>
          <w:spacing w:val="-3"/>
          <w:lang w:val="en-GB"/>
        </w:rPr>
      </w:pPr>
    </w:p>
    <w:p w14:paraId="783B4141" w14:textId="77777777" w:rsidR="00005F13" w:rsidRPr="00E74CD6" w:rsidRDefault="00005F13" w:rsidP="00005F13">
      <w:pPr>
        <w:tabs>
          <w:tab w:val="left" w:pos="-720"/>
        </w:tabs>
        <w:jc w:val="both"/>
        <w:rPr>
          <w:rFonts w:ascii="Trebuchet MS" w:hAnsi="Trebuchet MS"/>
          <w:spacing w:val="-3"/>
          <w:lang w:val="en-GB"/>
        </w:rPr>
      </w:pPr>
      <w:r w:rsidRPr="00E74CD6">
        <w:rPr>
          <w:rFonts w:ascii="Trebuchet MS" w:hAnsi="Trebuchet MS"/>
          <w:spacing w:val="-3"/>
          <w:lang w:val="en-GB"/>
        </w:rPr>
        <w:t>As it seems that we cannot do this, we must reconsider the idea that we do not know these basic assumptions, and that exempt from knowledge, they are equally exempt from doubt.</w:t>
      </w:r>
    </w:p>
    <w:p w14:paraId="14436442" w14:textId="77777777" w:rsidR="00005F13" w:rsidRPr="00E74CD6" w:rsidRDefault="00005F13" w:rsidP="00005F13">
      <w:pPr>
        <w:tabs>
          <w:tab w:val="left" w:pos="-720"/>
        </w:tabs>
        <w:jc w:val="both"/>
        <w:rPr>
          <w:rFonts w:ascii="Trebuchet MS" w:hAnsi="Trebuchet MS"/>
          <w:spacing w:val="-3"/>
          <w:lang w:val="en-GB"/>
        </w:rPr>
      </w:pPr>
    </w:p>
    <w:p w14:paraId="786A0560" w14:textId="77777777" w:rsidR="00005F13" w:rsidRPr="00E74CD6" w:rsidRDefault="00005F13" w:rsidP="00005F13">
      <w:pPr>
        <w:pStyle w:val="Heading1"/>
        <w:rPr>
          <w:rFonts w:ascii="Trebuchet MS" w:hAnsi="Trebuchet MS"/>
        </w:rPr>
      </w:pPr>
      <w:r w:rsidRPr="00E74CD6">
        <w:rPr>
          <w:rFonts w:ascii="Trebuchet MS" w:hAnsi="Trebuchet MS"/>
        </w:rPr>
        <w:t>Meaning, doing and knowing</w:t>
      </w:r>
    </w:p>
    <w:p w14:paraId="165D2612" w14:textId="77777777" w:rsidR="00005F13" w:rsidRPr="00E74CD6" w:rsidRDefault="00005F13" w:rsidP="00005F13">
      <w:pPr>
        <w:tabs>
          <w:tab w:val="left" w:pos="-720"/>
        </w:tabs>
        <w:jc w:val="both"/>
        <w:rPr>
          <w:rFonts w:ascii="Trebuchet MS" w:hAnsi="Trebuchet MS"/>
          <w:spacing w:val="-3"/>
          <w:lang w:val="en-GB"/>
        </w:rPr>
      </w:pPr>
      <w:r w:rsidRPr="00E74CD6">
        <w:rPr>
          <w:rFonts w:ascii="Trebuchet MS" w:hAnsi="Trebuchet MS"/>
          <w:spacing w:val="-3"/>
          <w:lang w:val="en-GB"/>
        </w:rPr>
        <w:t>Wittgenstein notes that we are certain of nothing more than these background assumptions, not even of the meaning of words (</w:t>
      </w:r>
      <w:r w:rsidRPr="00E74CD6">
        <w:rPr>
          <w:rFonts w:ascii="Trebuchet MS" w:hAnsi="Trebuchet MS"/>
          <w:i/>
          <w:iCs/>
          <w:spacing w:val="-3"/>
          <w:lang w:val="en-GB"/>
        </w:rPr>
        <w:t>On Certainty</w:t>
      </w:r>
      <w:r w:rsidRPr="00E74CD6">
        <w:rPr>
          <w:rFonts w:ascii="Trebuchet MS" w:hAnsi="Trebuchet MS"/>
          <w:spacing w:val="-3"/>
          <w:lang w:val="en-GB"/>
        </w:rPr>
        <w:t>, 126). In fact, they are often used in the teaching of meaning. ‘This is a hand’ could be replaced by ‘This is called a ‘hand’’. So we can challenge: ‘‘I don't know if this is a hand.’ But do you know what the word ‘hand’ means?’ (OC 306). Someone is not able to mean things by what she says until she has mastered the language-game within which she wants to speak.</w:t>
      </w:r>
    </w:p>
    <w:p w14:paraId="0E8A2D20" w14:textId="77777777" w:rsidR="00005F13" w:rsidRPr="00E74CD6" w:rsidRDefault="00005F13" w:rsidP="00005F13">
      <w:pPr>
        <w:tabs>
          <w:tab w:val="left" w:pos="-720"/>
        </w:tabs>
        <w:jc w:val="both"/>
        <w:rPr>
          <w:rFonts w:ascii="Trebuchet MS" w:hAnsi="Trebuchet MS"/>
          <w:spacing w:val="-3"/>
          <w:lang w:val="en-GB"/>
        </w:rPr>
      </w:pPr>
    </w:p>
    <w:p w14:paraId="65F1DB05" w14:textId="77777777" w:rsidR="00005F13" w:rsidRPr="00E74CD6" w:rsidRDefault="00005F13" w:rsidP="00005F13">
      <w:pPr>
        <w:tabs>
          <w:tab w:val="left" w:pos="-720"/>
        </w:tabs>
        <w:jc w:val="both"/>
        <w:rPr>
          <w:rFonts w:ascii="Trebuchet MS" w:hAnsi="Trebuchet MS"/>
          <w:spacing w:val="-3"/>
          <w:lang w:val="en-GB"/>
        </w:rPr>
      </w:pPr>
      <w:r w:rsidRPr="00E74CD6">
        <w:rPr>
          <w:rFonts w:ascii="Trebuchet MS" w:hAnsi="Trebuchet MS"/>
          <w:spacing w:val="-3"/>
          <w:lang w:val="en-GB"/>
        </w:rPr>
        <w:t>This enables us to argue that sceptical doubt is literally meaningless. Doubt, like all linguistic activity, presupposes the mastery of a language-game. I learned what ‘hand’ means by believing someone ‘older and wiser’ when they said ‘this is a hand’. But the sceptic’s situation of doubt is similar to the circumstances under which I learnt ‘hand’, so ‘If I wanted to doubt whether this was my hand, how could I avoid doubting whether the word ‘hand’ has any meaning?’ (369).</w:t>
      </w:r>
    </w:p>
    <w:p w14:paraId="0A6C4A14" w14:textId="77777777" w:rsidR="00005F13" w:rsidRPr="00E74CD6" w:rsidRDefault="00005F13" w:rsidP="00005F13">
      <w:pPr>
        <w:tabs>
          <w:tab w:val="left" w:pos="-720"/>
        </w:tabs>
        <w:jc w:val="both"/>
        <w:rPr>
          <w:rFonts w:ascii="Trebuchet MS" w:hAnsi="Trebuchet MS"/>
          <w:spacing w:val="-3"/>
          <w:lang w:val="en-GB"/>
        </w:rPr>
      </w:pPr>
    </w:p>
    <w:p w14:paraId="77628D05" w14:textId="77777777" w:rsidR="00005F13" w:rsidRPr="00E74CD6" w:rsidRDefault="00005F13" w:rsidP="00005F13">
      <w:pPr>
        <w:tabs>
          <w:tab w:val="left" w:pos="-720"/>
        </w:tabs>
        <w:jc w:val="both"/>
        <w:rPr>
          <w:rFonts w:ascii="Trebuchet MS" w:hAnsi="Trebuchet MS"/>
          <w:spacing w:val="-3"/>
          <w:lang w:val="en-GB"/>
        </w:rPr>
      </w:pPr>
      <w:r w:rsidRPr="00E74CD6">
        <w:rPr>
          <w:rFonts w:ascii="Trebuchet MS" w:hAnsi="Trebuchet MS"/>
          <w:spacing w:val="-3"/>
          <w:lang w:val="en-GB"/>
        </w:rPr>
        <w:t xml:space="preserve">Furthermore, to have mastered the language game is not simply to have acquired a certain set of beliefs. Being able to mean and to understand are practical capacities, tied to what we </w:t>
      </w:r>
      <w:r w:rsidRPr="00E74CD6">
        <w:rPr>
          <w:rFonts w:ascii="Trebuchet MS" w:hAnsi="Trebuchet MS"/>
          <w:i/>
          <w:spacing w:val="-3"/>
          <w:lang w:val="en-GB"/>
        </w:rPr>
        <w:t>do</w:t>
      </w:r>
      <w:r w:rsidRPr="00E74CD6">
        <w:rPr>
          <w:rFonts w:ascii="Trebuchet MS" w:hAnsi="Trebuchet MS"/>
          <w:spacing w:val="-3"/>
          <w:lang w:val="en-GB"/>
        </w:rPr>
        <w:t xml:space="preserve">: The meaning of a proposition is its use within a practice; in the case of talk of physical objects, this is usually a matter of description and judgment. Our background assumptions show us how words are used. </w:t>
      </w:r>
    </w:p>
    <w:p w14:paraId="1AC8FC05" w14:textId="77777777" w:rsidR="00005F13" w:rsidRPr="00E74CD6" w:rsidRDefault="00005F13" w:rsidP="00005F13">
      <w:pPr>
        <w:tabs>
          <w:tab w:val="left" w:pos="-720"/>
        </w:tabs>
        <w:jc w:val="both"/>
        <w:rPr>
          <w:rFonts w:ascii="Trebuchet MS" w:hAnsi="Trebuchet MS"/>
          <w:spacing w:val="-3"/>
          <w:lang w:val="en-GB"/>
        </w:rPr>
      </w:pPr>
    </w:p>
    <w:p w14:paraId="2B790164" w14:textId="77777777" w:rsidR="00005F13" w:rsidRPr="00E74CD6" w:rsidRDefault="00005F13" w:rsidP="00005F13">
      <w:pPr>
        <w:tabs>
          <w:tab w:val="left" w:pos="-720"/>
        </w:tabs>
        <w:jc w:val="both"/>
        <w:rPr>
          <w:rFonts w:ascii="Trebuchet MS" w:hAnsi="Trebuchet MS"/>
          <w:spacing w:val="-3"/>
          <w:lang w:val="en-GB"/>
        </w:rPr>
      </w:pPr>
      <w:r w:rsidRPr="00E74CD6">
        <w:rPr>
          <w:rFonts w:ascii="Trebuchet MS" w:hAnsi="Trebuchet MS"/>
          <w:spacing w:val="-3"/>
          <w:lang w:val="en-GB"/>
        </w:rPr>
        <w:t xml:space="preserve">It might seem strange that such specific judgments as ‘This is a hand’ could play such a role. However, Wittgenstein argues that ‘The truth of certain empirical propositions belongs to our frame of reference.’ (OC 83) With these sorts of statements, my ability to express true statements is a measure not simply of my grasping the truth, but of my </w:t>
      </w:r>
      <w:r w:rsidRPr="00E74CD6">
        <w:rPr>
          <w:rFonts w:ascii="Trebuchet MS" w:hAnsi="Trebuchet MS"/>
          <w:i/>
          <w:iCs/>
          <w:spacing w:val="-3"/>
          <w:lang w:val="en-GB"/>
        </w:rPr>
        <w:t>understanding</w:t>
      </w:r>
      <w:r w:rsidRPr="00E74CD6">
        <w:rPr>
          <w:rFonts w:ascii="Trebuchet MS" w:hAnsi="Trebuchet MS"/>
          <w:spacing w:val="-3"/>
          <w:lang w:val="en-GB"/>
        </w:rPr>
        <w:t xml:space="preserve"> these statements. I cannot make a </w:t>
      </w:r>
      <w:r w:rsidRPr="00E74CD6">
        <w:rPr>
          <w:rFonts w:ascii="Trebuchet MS" w:hAnsi="Trebuchet MS"/>
          <w:i/>
          <w:iCs/>
          <w:spacing w:val="-3"/>
          <w:lang w:val="en-GB"/>
        </w:rPr>
        <w:t>mistake</w:t>
      </w:r>
      <w:r w:rsidRPr="00E74CD6">
        <w:rPr>
          <w:rFonts w:ascii="Trebuchet MS" w:hAnsi="Trebuchet MS"/>
          <w:spacing w:val="-3"/>
          <w:lang w:val="en-GB"/>
        </w:rPr>
        <w:t xml:space="preserve"> about them because if I go wrong, either my meaning or my sanity (in either case, one’s mastery) is in question. And this provides an answer to scepticism: quite literally, ‘Doubt gradually loses its </w:t>
      </w:r>
      <w:r w:rsidRPr="00E74CD6">
        <w:rPr>
          <w:rFonts w:ascii="Trebuchet MS" w:hAnsi="Trebuchet MS"/>
          <w:iCs/>
          <w:spacing w:val="-3"/>
          <w:lang w:val="en-GB"/>
        </w:rPr>
        <w:t>sense’</w:t>
      </w:r>
      <w:r w:rsidRPr="00E74CD6">
        <w:rPr>
          <w:rFonts w:ascii="Trebuchet MS" w:hAnsi="Trebuchet MS"/>
          <w:spacing w:val="-3"/>
          <w:lang w:val="en-GB"/>
        </w:rPr>
        <w:t xml:space="preserve"> (OC 56). Doubting them deprives those very words of their meaning as it undermines the system which constitutes their meaning.</w:t>
      </w:r>
    </w:p>
    <w:p w14:paraId="5C372E4C" w14:textId="77777777" w:rsidR="00005F13" w:rsidRPr="00E74CD6" w:rsidRDefault="00005F13" w:rsidP="00005F13">
      <w:pPr>
        <w:tabs>
          <w:tab w:val="left" w:pos="-720"/>
        </w:tabs>
        <w:jc w:val="both"/>
        <w:rPr>
          <w:rFonts w:ascii="Trebuchet MS" w:hAnsi="Trebuchet MS"/>
          <w:spacing w:val="-3"/>
          <w:lang w:val="en-GB"/>
        </w:rPr>
      </w:pPr>
    </w:p>
    <w:p w14:paraId="4BF7F2B3" w14:textId="77777777" w:rsidR="00005F13" w:rsidRPr="00E74CD6" w:rsidRDefault="00005F13" w:rsidP="00005F13">
      <w:pPr>
        <w:tabs>
          <w:tab w:val="left" w:pos="-720"/>
        </w:tabs>
        <w:jc w:val="both"/>
        <w:rPr>
          <w:rFonts w:ascii="Trebuchet MS" w:hAnsi="Trebuchet MS"/>
          <w:spacing w:val="-3"/>
          <w:lang w:val="en-GB"/>
        </w:rPr>
      </w:pPr>
      <w:r w:rsidRPr="00E74CD6">
        <w:rPr>
          <w:rFonts w:ascii="Trebuchet MS" w:hAnsi="Trebuchet MS"/>
          <w:spacing w:val="-3"/>
          <w:lang w:val="en-GB"/>
        </w:rPr>
        <w:t xml:space="preserve">However, as a result of their role in defining meaning, there are no independent grounds for such background judgments; they help define the terms one could use in the grounds. Because we cannot give grounds for them, we cannot be said to ‘know’ them. They cannot play the role of a proposition being ‘tested’ for truth. ‘‘Knowledge’ and ‘certainty’ belong to different </w:t>
      </w:r>
      <w:r w:rsidRPr="00E74CD6">
        <w:rPr>
          <w:rFonts w:ascii="Trebuchet MS" w:hAnsi="Trebuchet MS"/>
          <w:i/>
          <w:spacing w:val="-3"/>
          <w:lang w:val="en-GB"/>
        </w:rPr>
        <w:t>categories</w:t>
      </w:r>
      <w:r w:rsidRPr="00E74CD6">
        <w:rPr>
          <w:rFonts w:ascii="Trebuchet MS" w:hAnsi="Trebuchet MS"/>
          <w:spacing w:val="-3"/>
          <w:lang w:val="en-GB"/>
        </w:rPr>
        <w:t>....we are interested in the fact that about certain empirical propositions no doubt can exist if making judgments is to be possible at all.’ (OC 308)</w:t>
      </w:r>
    </w:p>
    <w:p w14:paraId="022695BF" w14:textId="77777777" w:rsidR="00005F13" w:rsidRPr="00E74CD6" w:rsidRDefault="00005F13" w:rsidP="00005F13">
      <w:pPr>
        <w:tabs>
          <w:tab w:val="left" w:pos="-720"/>
        </w:tabs>
        <w:jc w:val="both"/>
        <w:rPr>
          <w:rFonts w:ascii="Trebuchet MS" w:hAnsi="Trebuchet MS"/>
          <w:spacing w:val="-3"/>
          <w:lang w:val="en-GB"/>
        </w:rPr>
      </w:pPr>
    </w:p>
    <w:p w14:paraId="1D4B7643" w14:textId="77777777" w:rsidR="00005F13" w:rsidRPr="00E74CD6" w:rsidRDefault="00005F13" w:rsidP="00005F13">
      <w:pPr>
        <w:pStyle w:val="Heading1"/>
        <w:rPr>
          <w:rFonts w:ascii="Trebuchet MS" w:hAnsi="Trebuchet MS"/>
        </w:rPr>
      </w:pPr>
      <w:r w:rsidRPr="00E74CD6">
        <w:rPr>
          <w:rFonts w:ascii="Trebuchet MS" w:hAnsi="Trebuchet MS"/>
        </w:rPr>
        <w:t>A sceptical return</w:t>
      </w:r>
    </w:p>
    <w:p w14:paraId="7304B2D1" w14:textId="77777777" w:rsidR="00005F13" w:rsidRPr="00E74CD6" w:rsidRDefault="00005F13" w:rsidP="00005F13">
      <w:pPr>
        <w:tabs>
          <w:tab w:val="left" w:pos="-720"/>
        </w:tabs>
        <w:jc w:val="both"/>
        <w:rPr>
          <w:rFonts w:ascii="Trebuchet MS" w:hAnsi="Trebuchet MS"/>
          <w:spacing w:val="-3"/>
          <w:lang w:val="en-GB"/>
        </w:rPr>
      </w:pPr>
      <w:r w:rsidRPr="00E74CD6">
        <w:rPr>
          <w:rFonts w:ascii="Trebuchet MS" w:hAnsi="Trebuchet MS"/>
          <w:spacing w:val="-3"/>
          <w:lang w:val="en-GB"/>
        </w:rPr>
        <w:t xml:space="preserve">But now it is the sceptic’s turn to suggest that there is something odd going on. It seems that we can make sense of the idea that someone could be in a better position than I am regarding that bottom line of assumptions - that my experience is a tolerable guide to the external world. This idea is expressed by the sceptical possibilities that I am a brain-in-a-vat or I’m dreaming. </w:t>
      </w:r>
    </w:p>
    <w:p w14:paraId="164D01E7" w14:textId="77777777" w:rsidR="00005F13" w:rsidRPr="00E74CD6" w:rsidRDefault="00005F13" w:rsidP="00005F13">
      <w:pPr>
        <w:tabs>
          <w:tab w:val="left" w:pos="-720"/>
        </w:tabs>
        <w:jc w:val="both"/>
        <w:rPr>
          <w:rFonts w:ascii="Trebuchet MS" w:hAnsi="Trebuchet MS"/>
          <w:spacing w:val="-3"/>
          <w:lang w:val="en-GB"/>
        </w:rPr>
      </w:pPr>
    </w:p>
    <w:p w14:paraId="234EA5B4" w14:textId="77777777" w:rsidR="00005F13" w:rsidRPr="00E74CD6" w:rsidRDefault="00005F13" w:rsidP="00005F13">
      <w:pPr>
        <w:tabs>
          <w:tab w:val="left" w:pos="-720"/>
        </w:tabs>
        <w:jc w:val="both"/>
        <w:rPr>
          <w:rFonts w:ascii="Trebuchet MS" w:hAnsi="Trebuchet MS"/>
          <w:spacing w:val="-3"/>
          <w:lang w:val="en-GB"/>
        </w:rPr>
      </w:pPr>
      <w:r w:rsidRPr="00E74CD6">
        <w:rPr>
          <w:rFonts w:ascii="Trebuchet MS" w:hAnsi="Trebuchet MS"/>
          <w:spacing w:val="-3"/>
          <w:lang w:val="en-GB"/>
        </w:rPr>
        <w:t>But notice that the mad scientist or someone who is monitoring my dreams does not have a fully superior perspective, because their own position is no better off against sceptical possibilities than mine. Though they could say that, within their experience, my experience is not a reliable guide to reality, they cannot say that their experience is any more reliable! The idea of a superior perspec</w:t>
      </w:r>
      <w:r w:rsidRPr="00E74CD6">
        <w:rPr>
          <w:rFonts w:ascii="Trebuchet MS" w:hAnsi="Trebuchet MS"/>
          <w:spacing w:val="-3"/>
          <w:lang w:val="en-GB"/>
        </w:rPr>
        <w:softHyphen/>
        <w:t xml:space="preserve">tive regarding my experience is not strictly unintelligible; but the idea of a superior perspective </w:t>
      </w:r>
      <w:r w:rsidRPr="00E74CD6">
        <w:rPr>
          <w:rFonts w:ascii="Trebuchet MS" w:hAnsi="Trebuchet MS"/>
          <w:i/>
          <w:spacing w:val="-3"/>
          <w:lang w:val="en-GB"/>
        </w:rPr>
        <w:t>per se</w:t>
      </w:r>
      <w:r w:rsidRPr="00E74CD6">
        <w:rPr>
          <w:rFonts w:ascii="Trebuchet MS" w:hAnsi="Trebuchet MS"/>
          <w:spacing w:val="-3"/>
          <w:lang w:val="en-GB"/>
        </w:rPr>
        <w:t xml:space="preserve">, is. But isn’t this enough? Doesn’t this still show that, despite what Wittgenstein argues, the possibility remains that </w:t>
      </w:r>
      <w:r w:rsidRPr="00E74CD6">
        <w:rPr>
          <w:rFonts w:ascii="Trebuchet MS" w:hAnsi="Trebuchet MS"/>
          <w:i/>
          <w:spacing w:val="-3"/>
          <w:lang w:val="en-GB"/>
        </w:rPr>
        <w:t xml:space="preserve">I </w:t>
      </w:r>
      <w:r w:rsidRPr="00E74CD6">
        <w:rPr>
          <w:rFonts w:ascii="Trebuchet MS" w:hAnsi="Trebuchet MS"/>
          <w:spacing w:val="-3"/>
          <w:lang w:val="en-GB"/>
        </w:rPr>
        <w:t>could be wrong, and I cannot know that I am not.</w:t>
      </w:r>
    </w:p>
    <w:p w14:paraId="1B37B95E" w14:textId="77777777" w:rsidR="00005F13" w:rsidRPr="00E74CD6" w:rsidRDefault="00005F13" w:rsidP="00005F13">
      <w:pPr>
        <w:tabs>
          <w:tab w:val="left" w:pos="-720"/>
        </w:tabs>
        <w:jc w:val="both"/>
        <w:rPr>
          <w:rFonts w:ascii="Trebuchet MS" w:hAnsi="Trebuchet MS"/>
          <w:spacing w:val="-3"/>
          <w:lang w:val="en-GB"/>
        </w:rPr>
      </w:pPr>
    </w:p>
    <w:p w14:paraId="43CF0FDC" w14:textId="77777777" w:rsidR="00005F13" w:rsidRPr="00E74CD6" w:rsidRDefault="00005F13" w:rsidP="00005F13">
      <w:pPr>
        <w:tabs>
          <w:tab w:val="left" w:pos="-720"/>
        </w:tabs>
        <w:jc w:val="both"/>
        <w:rPr>
          <w:rFonts w:ascii="Trebuchet MS" w:hAnsi="Trebuchet MS"/>
          <w:spacing w:val="-3"/>
          <w:lang w:val="en-GB"/>
        </w:rPr>
      </w:pPr>
      <w:r w:rsidRPr="00E74CD6">
        <w:rPr>
          <w:rFonts w:ascii="Trebuchet MS" w:hAnsi="Trebuchet MS"/>
          <w:spacing w:val="-3"/>
          <w:lang w:val="en-GB"/>
        </w:rPr>
        <w:t xml:space="preserve">It looks like a stand-off between Wittgenstein and the sceptic. But here is one reason to think it is not. The sceptic started by assuming that our background assumptions were factual, and so could be doubted. Without this, it is difficult to get scepticism going. But Wittgenstein argues that this </w:t>
      </w:r>
      <w:r w:rsidRPr="00E74CD6">
        <w:rPr>
          <w:rFonts w:ascii="Trebuchet MS" w:hAnsi="Trebuchet MS"/>
          <w:i/>
          <w:iCs/>
          <w:spacing w:val="-3"/>
          <w:lang w:val="en-GB"/>
        </w:rPr>
        <w:t>first move</w:t>
      </w:r>
      <w:r w:rsidRPr="00E74CD6">
        <w:rPr>
          <w:rFonts w:ascii="Trebuchet MS" w:hAnsi="Trebuchet MS"/>
          <w:spacing w:val="-3"/>
          <w:lang w:val="en-GB"/>
        </w:rPr>
        <w:t xml:space="preserve"> is wrong. And if he is right, sceptical possibilities can’t even arise to then cast doubt on our experience.</w:t>
      </w:r>
    </w:p>
    <w:p w14:paraId="79A0340C" w14:textId="77777777" w:rsidR="00005F13" w:rsidRPr="00E74CD6" w:rsidRDefault="00005F13" w:rsidP="00005F13">
      <w:pPr>
        <w:tabs>
          <w:tab w:val="left" w:pos="-720"/>
        </w:tabs>
        <w:jc w:val="both"/>
        <w:rPr>
          <w:rFonts w:ascii="Trebuchet MS" w:hAnsi="Trebuchet MS"/>
          <w:spacing w:val="-3"/>
          <w:lang w:val="en-GB"/>
        </w:rPr>
      </w:pPr>
    </w:p>
    <w:p w14:paraId="11F9BB5B" w14:textId="77777777" w:rsidR="00005F13" w:rsidRPr="00E74CD6" w:rsidRDefault="00005F13" w:rsidP="00005F13">
      <w:pPr>
        <w:tabs>
          <w:tab w:val="left" w:pos="-720"/>
        </w:tabs>
        <w:jc w:val="both"/>
        <w:rPr>
          <w:rFonts w:ascii="Trebuchet MS" w:hAnsi="Trebuchet MS"/>
          <w:spacing w:val="-3"/>
          <w:lang w:val="en-GB"/>
        </w:rPr>
      </w:pPr>
      <w:r w:rsidRPr="00E74CD6">
        <w:rPr>
          <w:rFonts w:ascii="Trebuchet MS" w:hAnsi="Trebuchet MS"/>
          <w:spacing w:val="-3"/>
          <w:lang w:val="en-GB"/>
        </w:rPr>
        <w:t xml:space="preserve">But Wittgenstein’s solution is hard to accept. Not only does it mean that we do not know such statements as ‘This is a hand’, but they do not even </w:t>
      </w:r>
      <w:r w:rsidRPr="00E74CD6">
        <w:rPr>
          <w:rFonts w:ascii="Trebuchet MS" w:hAnsi="Trebuchet MS"/>
          <w:i/>
          <w:iCs/>
          <w:spacing w:val="-3"/>
          <w:lang w:val="en-GB"/>
        </w:rPr>
        <w:t>describe</w:t>
      </w:r>
      <w:r w:rsidRPr="00E74CD6">
        <w:rPr>
          <w:rFonts w:ascii="Trebuchet MS" w:hAnsi="Trebuchet MS"/>
          <w:spacing w:val="-3"/>
          <w:lang w:val="en-GB"/>
        </w:rPr>
        <w:t xml:space="preserve"> reality. Instead, they provide examples of what words mean: ‘‘I know this is a hand.’--And what is a hand?--’Well, </w:t>
      </w:r>
      <w:r w:rsidRPr="00E74CD6">
        <w:rPr>
          <w:rFonts w:ascii="Trebuchet MS" w:hAnsi="Trebuchet MS"/>
          <w:i/>
          <w:spacing w:val="-3"/>
          <w:lang w:val="en-GB"/>
        </w:rPr>
        <w:t>this</w:t>
      </w:r>
      <w:r w:rsidRPr="00E74CD6">
        <w:rPr>
          <w:rFonts w:ascii="Trebuchet MS" w:hAnsi="Trebuchet MS"/>
          <w:spacing w:val="-3"/>
          <w:lang w:val="en-GB"/>
        </w:rPr>
        <w:t xml:space="preserve">, for example.’’ (OC 268) The circularity is clear. If ‘this’ is a hand by definition, saying that ‘this is a hand’ is not to describe anything. It is more similar to asserting an analytic truth, such as ‘Bachelors are unmarried’. It is true that bachelors are unmarried, but not in virtue of the sentence </w:t>
      </w:r>
      <w:r w:rsidRPr="00E74CD6">
        <w:rPr>
          <w:rFonts w:ascii="Trebuchet MS" w:hAnsi="Trebuchet MS"/>
          <w:i/>
          <w:iCs/>
          <w:spacing w:val="-3"/>
          <w:lang w:val="en-GB"/>
        </w:rPr>
        <w:t>describing</w:t>
      </w:r>
      <w:r w:rsidRPr="00E74CD6">
        <w:rPr>
          <w:rFonts w:ascii="Trebuchet MS" w:hAnsi="Trebuchet MS"/>
          <w:spacing w:val="-3"/>
          <w:lang w:val="en-GB"/>
        </w:rPr>
        <w:t xml:space="preserve"> bachelors. Analytic truths define the meanings of the terms used. Our background assumptions likewise define the meanings of the words we use, delimiting their use in our practices. They therefore can’t be said to describe the world.</w:t>
      </w:r>
    </w:p>
    <w:p w14:paraId="34954370" w14:textId="77777777" w:rsidR="00005F13" w:rsidRPr="00E74CD6" w:rsidRDefault="00005F13" w:rsidP="00005F13">
      <w:pPr>
        <w:tabs>
          <w:tab w:val="left" w:pos="-720"/>
        </w:tabs>
        <w:jc w:val="both"/>
        <w:rPr>
          <w:rFonts w:ascii="Trebuchet MS" w:hAnsi="Trebuchet MS"/>
          <w:spacing w:val="-3"/>
          <w:lang w:val="en-GB"/>
        </w:rPr>
      </w:pPr>
    </w:p>
    <w:p w14:paraId="5D48EE10" w14:textId="77777777" w:rsidR="00005F13" w:rsidRPr="00E74CD6" w:rsidRDefault="00005F13" w:rsidP="00005F13">
      <w:pPr>
        <w:tabs>
          <w:tab w:val="left" w:pos="-720"/>
        </w:tabs>
        <w:jc w:val="both"/>
        <w:rPr>
          <w:rFonts w:ascii="Trebuchet MS" w:hAnsi="Trebuchet MS"/>
          <w:spacing w:val="-3"/>
          <w:lang w:val="en-GB"/>
        </w:rPr>
      </w:pPr>
      <w:r w:rsidRPr="00E74CD6">
        <w:rPr>
          <w:rFonts w:ascii="Trebuchet MS" w:hAnsi="Trebuchet MS"/>
          <w:spacing w:val="-3"/>
          <w:lang w:val="en-GB"/>
        </w:rPr>
        <w:t>The best response to this is perhaps to say that on the occasions on which ‘this is a hand’ is used to define what ‘hand’ means, then the sentence doesn’t describe the world. But there are other occasions when it could be used, e.g. on an archaeological dig, when it does describe the world. On those occasions, we can provide evidence (there are the right number of bones about the right size, etc.), so we can meaningfully doubt the claim and we can be said to know it. But the reasons for doubt in such situations can only be everyday ones, the sort that scepticism is not interested in. This dual use for sentences like ‘this is a hand’ explains why we feel both that it describes the world (sometimes it does), but that it can’t be doubted (sometimes it can’t).</w:t>
      </w:r>
    </w:p>
    <w:p w14:paraId="51E1B580" w14:textId="77777777" w:rsidR="00005F13" w:rsidRPr="00E74CD6" w:rsidRDefault="00005F13" w:rsidP="00005F13">
      <w:pPr>
        <w:tabs>
          <w:tab w:val="left" w:pos="-720"/>
        </w:tabs>
        <w:jc w:val="both"/>
        <w:rPr>
          <w:rFonts w:ascii="Trebuchet MS" w:hAnsi="Trebuchet MS"/>
          <w:spacing w:val="-3"/>
          <w:lang w:val="en-GB"/>
        </w:rPr>
      </w:pPr>
    </w:p>
    <w:p w14:paraId="5AFCD999" w14:textId="77777777" w:rsidR="00005F13" w:rsidRPr="00E74CD6" w:rsidRDefault="00005F13" w:rsidP="00005F13">
      <w:pPr>
        <w:tabs>
          <w:tab w:val="left" w:pos="-720"/>
        </w:tabs>
        <w:jc w:val="both"/>
        <w:rPr>
          <w:rFonts w:ascii="Trebuchet MS" w:hAnsi="Trebuchet MS"/>
          <w:spacing w:val="-3"/>
          <w:lang w:val="en-GB"/>
        </w:rPr>
      </w:pPr>
      <w:r w:rsidRPr="00E74CD6">
        <w:rPr>
          <w:rFonts w:ascii="Trebuchet MS" w:hAnsi="Trebuchet MS"/>
          <w:spacing w:val="-3"/>
          <w:lang w:val="en-GB"/>
        </w:rPr>
        <w:t xml:space="preserve">I think this is helpful where it can be applied. But it can’t work for all the examples Wittgenstein gives. Is ‘the world existed before my birth’ ever used to give the meanings of the terms? There are many ‘background assumptions’ that guide how we use language which are not close enough to analytic truths for us to divide them neatly into two uses. But Wittgenstein still wants to say they don’t describe the world. And so we must end inconclusively: </w:t>
      </w:r>
      <w:r w:rsidRPr="00E74CD6">
        <w:rPr>
          <w:rFonts w:ascii="Trebuchet MS" w:hAnsi="Trebuchet MS"/>
          <w:i/>
          <w:spacing w:val="-3"/>
          <w:lang w:val="en-GB"/>
        </w:rPr>
        <w:t>If</w:t>
      </w:r>
      <w:r w:rsidRPr="00E74CD6">
        <w:rPr>
          <w:rFonts w:ascii="Trebuchet MS" w:hAnsi="Trebuchet MS"/>
          <w:spacing w:val="-3"/>
          <w:lang w:val="en-GB"/>
        </w:rPr>
        <w:t xml:space="preserve"> we can make sense of the relation between the ‘background assumptions’ of our practices and reality being proposed, we will have an answer to scepticism.</w:t>
      </w:r>
    </w:p>
    <w:p w14:paraId="3134A437" w14:textId="77777777" w:rsidR="00291350" w:rsidRPr="00E74CD6" w:rsidDel="005073C4" w:rsidRDefault="00A12D4A" w:rsidP="00291350">
      <w:pPr>
        <w:pStyle w:val="Text"/>
        <w:rPr>
          <w:rFonts w:ascii="Trebuchet MS" w:hAnsi="Trebuchet MS"/>
        </w:rPr>
      </w:pPr>
    </w:p>
    <w:sectPr w:rsidR="00291350" w:rsidRPr="00E74CD6" w:rsidDel="005073C4" w:rsidSect="00291350">
      <w:headerReference w:type="default" r:id="rId7"/>
      <w:headerReference w:type="first" r:id="rId8"/>
      <w:pgSz w:w="11900" w:h="16840"/>
      <w:pgMar w:top="1440" w:right="1800" w:bottom="1440" w:left="1800" w:header="708" w:footer="708" w:gutter="0"/>
      <w:cols w:space="708"/>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82BB53C" w14:textId="77777777" w:rsidR="00A12D4A" w:rsidRDefault="00A12D4A">
      <w:r>
        <w:separator/>
      </w:r>
    </w:p>
  </w:endnote>
  <w:endnote w:type="continuationSeparator" w:id="0">
    <w:p w14:paraId="04FFAFCB" w14:textId="77777777" w:rsidR="00A12D4A" w:rsidRDefault="00A12D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EF" w:usb1="C0007841" w:usb2="00000009" w:usb3="00000000" w:csb0="000001FF" w:csb1="00000000"/>
  </w:font>
  <w:font w:name="Courier">
    <w:panose1 w:val="02000500000000000000"/>
    <w:charset w:val="00"/>
    <w:family w:val="roman"/>
    <w:pitch w:val="fixed"/>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Trebuchet MS">
    <w:panose1 w:val="020B0603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7E244D3" w14:textId="77777777" w:rsidR="00A12D4A" w:rsidRDefault="00A12D4A">
      <w:r>
        <w:separator/>
      </w:r>
    </w:p>
  </w:footnote>
  <w:footnote w:type="continuationSeparator" w:id="0">
    <w:p w14:paraId="3AEA66DB" w14:textId="77777777" w:rsidR="00A12D4A" w:rsidRDefault="00A12D4A">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BF591A0" w14:textId="77777777" w:rsidR="00291350" w:rsidRDefault="00A12D4A" w:rsidP="00291350">
    <w:pPr>
      <w:pStyle w:val="Header"/>
      <w:jc w:val="right"/>
    </w:pPr>
  </w:p>
  <w:p w14:paraId="76E08130" w14:textId="77777777" w:rsidR="00291350" w:rsidRDefault="00A12D4A" w:rsidP="00291350">
    <w:pPr>
      <w:pStyle w:val="Header"/>
      <w:jc w:val="right"/>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16C678E" w14:textId="77777777" w:rsidR="00291350" w:rsidRDefault="00005F13" w:rsidP="00291350">
    <w:pPr>
      <w:pStyle w:val="Header"/>
      <w:jc w:val="right"/>
    </w:pPr>
    <w:r>
      <w:t xml:space="preserve">© </w:t>
    </w:r>
    <w:r>
      <w:fldChar w:fldCharType="begin"/>
    </w:r>
    <w:r>
      <w:instrText xml:space="preserve"> CONTACT _Con-3D73706F1 \c \s \l </w:instrText>
    </w:r>
    <w:r>
      <w:fldChar w:fldCharType="separate"/>
    </w:r>
    <w:r w:rsidRPr="00B33B17">
      <w:rPr>
        <w:noProof/>
        <w:lang w:val="en-US"/>
      </w:rPr>
      <w:t>Michael Lacewing</w:t>
    </w:r>
    <w:r>
      <w:fldChar w:fldCharType="end"/>
    </w:r>
  </w:p>
  <w:p w14:paraId="76CD88E6" w14:textId="77777777" w:rsidR="00291350" w:rsidRDefault="00A12D4A" w:rsidP="00291350">
    <w:pPr>
      <w:pStyle w:val="Header"/>
      <w:jc w:val="right"/>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E2F210F"/>
    <w:multiLevelType w:val="hybridMultilevel"/>
    <w:tmpl w:val="F9FCC7CE"/>
    <w:lvl w:ilvl="0" w:tplc="0D780134">
      <w:start w:val="1"/>
      <w:numFmt w:val="lowerLetter"/>
      <w:lvlText w:val="%1."/>
      <w:lvlJc w:val="left"/>
      <w:pPr>
        <w:tabs>
          <w:tab w:val="num" w:pos="720"/>
        </w:tabs>
        <w:ind w:left="720" w:hanging="360"/>
      </w:pPr>
      <w:rPr>
        <w:rFonts w:hint="default"/>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attachedTemplate r:id="rId1"/>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footnotePr>
    <w:footnote w:id="-1"/>
    <w:footnote w:id="0"/>
  </w:footnotePr>
  <w:endnotePr>
    <w:endnote w:id="-1"/>
    <w:endnote w:id="0"/>
  </w:endnotePr>
  <w:compat>
    <w:compatSetting w:name="compatibilityMode" w:uri="http://schemas.microsoft.com/office/word" w:val="12"/>
  </w:compat>
  <w:rsids>
    <w:rsidRoot w:val="00005F13"/>
    <w:rsid w:val="00005F13"/>
    <w:rsid w:val="001850CC"/>
    <w:rsid w:val="00A12D4A"/>
    <w:rsid w:val="00E74CD6"/>
  </w:rsids>
  <m:mathPr>
    <m:mathFont m:val="Cambria Math"/>
    <m:brkBin m:val="before"/>
    <m:brkBinSub m:val="--"/>
    <m:smallFrac m:val="0"/>
    <m:dispDef m:val="0"/>
    <m:lMargin m:val="0"/>
    <m:rMargin m:val="0"/>
    <m:defJc m:val="centerGroup"/>
    <m:wrapRight/>
    <m:intLim m:val="subSup"/>
    <m:naryLim m:val="subSup"/>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4:docId w14:val="0482AE3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GB" w:eastAsia="en-US" w:bidi="ar-SA"/>
      </w:rPr>
    </w:rPrDefault>
    <w:pPrDefault/>
  </w:docDefaults>
  <w:latentStyles w:defLockedState="0" w:defUIPriority="99" w:defSemiHidden="0" w:defUnhideWhenUsed="0" w:defQFormat="0" w:count="382">
    <w:lsdException w:name="Normal" w:uiPriority="0" w:qFormat="1"/>
    <w:lsdException w:name="heading 1" w:uiPriority="0" w:qFormat="1"/>
    <w:lsdException w:name="heading 2" w:uiPriority="0"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005F13"/>
    <w:pPr>
      <w:overflowPunct w:val="0"/>
      <w:autoSpaceDE w:val="0"/>
      <w:autoSpaceDN w:val="0"/>
      <w:adjustRightInd w:val="0"/>
      <w:textAlignment w:val="baseline"/>
    </w:pPr>
    <w:rPr>
      <w:rFonts w:ascii="Courier" w:hAnsi="Courier"/>
      <w:sz w:val="24"/>
      <w:lang w:val="en-US"/>
    </w:rPr>
  </w:style>
  <w:style w:type="paragraph" w:styleId="Heading1">
    <w:name w:val="heading 1"/>
    <w:basedOn w:val="Normal"/>
    <w:next w:val="Normal"/>
    <w:link w:val="Heading1Char"/>
    <w:qFormat/>
    <w:rsid w:val="00764D80"/>
    <w:pPr>
      <w:keepNext/>
      <w:overflowPunct/>
      <w:autoSpaceDE/>
      <w:autoSpaceDN/>
      <w:adjustRightInd/>
      <w:spacing w:before="240" w:after="60"/>
      <w:textAlignment w:val="auto"/>
      <w:outlineLvl w:val="0"/>
    </w:pPr>
    <w:rPr>
      <w:rFonts w:ascii="Arial" w:hAnsi="Arial"/>
      <w:b/>
      <w:caps/>
      <w:kern w:val="32"/>
      <w:szCs w:val="32"/>
      <w:lang w:val="en-GB"/>
    </w:rPr>
  </w:style>
  <w:style w:type="paragraph" w:styleId="Heading2">
    <w:name w:val="heading 2"/>
    <w:basedOn w:val="Normal"/>
    <w:next w:val="Normal"/>
    <w:link w:val="Heading2Char"/>
    <w:qFormat/>
    <w:rsid w:val="00563458"/>
    <w:pPr>
      <w:keepNext/>
      <w:overflowPunct/>
      <w:textAlignment w:val="auto"/>
      <w:outlineLvl w:val="1"/>
    </w:pPr>
    <w:rPr>
      <w:rFonts w:ascii="Arial" w:hAnsi="Arial"/>
      <w:iCs/>
      <w:szCs w:val="24"/>
      <w:u w:val="single"/>
      <w:lang w:val="en-GB"/>
    </w:rPr>
  </w:style>
  <w:style w:type="paragraph" w:styleId="Heading3">
    <w:name w:val="heading 3"/>
    <w:basedOn w:val="Normal"/>
    <w:next w:val="Normal"/>
    <w:link w:val="Heading3Char"/>
    <w:qFormat/>
    <w:rsid w:val="00005F13"/>
    <w:pPr>
      <w:keepNext/>
      <w:tabs>
        <w:tab w:val="left" w:pos="-720"/>
      </w:tabs>
      <w:jc w:val="both"/>
      <w:outlineLvl w:val="2"/>
    </w:pPr>
    <w:rPr>
      <w:rFonts w:ascii="Garamond" w:hAnsi="Garamond"/>
      <w:spacing w:val="-3"/>
      <w:u w:val="single"/>
      <w:lang w:val="en-GB"/>
    </w:rPr>
  </w:style>
  <w:style w:type="paragraph" w:styleId="Heading6">
    <w:name w:val="heading 6"/>
    <w:basedOn w:val="Normal"/>
    <w:next w:val="Normal"/>
    <w:link w:val="Heading6Char"/>
    <w:qFormat/>
    <w:rsid w:val="00005F13"/>
    <w:pPr>
      <w:keepNext/>
      <w:overflowPunct/>
      <w:autoSpaceDE/>
      <w:autoSpaceDN/>
      <w:adjustRightInd/>
      <w:textAlignment w:val="auto"/>
      <w:outlineLvl w:val="5"/>
    </w:pPr>
    <w:rPr>
      <w:rFonts w:ascii="Garamond" w:hAnsi="Garamond"/>
      <w:sz w:val="28"/>
      <w:szCs w:val="24"/>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3C2E94"/>
    <w:pPr>
      <w:overflowPunct/>
      <w:autoSpaceDE/>
      <w:autoSpaceDN/>
      <w:adjustRightInd/>
      <w:ind w:left="374"/>
      <w:textAlignment w:val="auto"/>
    </w:pPr>
    <w:rPr>
      <w:rFonts w:ascii="Garamond" w:hAnsi="Garamond"/>
      <w:sz w:val="20"/>
      <w:szCs w:val="24"/>
      <w:lang w:val="en-GB"/>
    </w:rPr>
  </w:style>
  <w:style w:type="paragraph" w:styleId="Header">
    <w:name w:val="header"/>
    <w:basedOn w:val="Normal"/>
    <w:rsid w:val="00B33B17"/>
    <w:pPr>
      <w:tabs>
        <w:tab w:val="center" w:pos="4320"/>
        <w:tab w:val="right" w:pos="8640"/>
      </w:tabs>
      <w:overflowPunct/>
      <w:autoSpaceDE/>
      <w:autoSpaceDN/>
      <w:adjustRightInd/>
      <w:textAlignment w:val="auto"/>
    </w:pPr>
    <w:rPr>
      <w:rFonts w:ascii="Garamond" w:hAnsi="Garamond"/>
      <w:szCs w:val="24"/>
      <w:lang w:val="en-GB"/>
    </w:rPr>
  </w:style>
  <w:style w:type="paragraph" w:styleId="Footer">
    <w:name w:val="footer"/>
    <w:basedOn w:val="Normal"/>
    <w:semiHidden/>
    <w:rsid w:val="00B33B17"/>
    <w:pPr>
      <w:tabs>
        <w:tab w:val="center" w:pos="4320"/>
        <w:tab w:val="right" w:pos="8640"/>
      </w:tabs>
      <w:overflowPunct/>
      <w:autoSpaceDE/>
      <w:autoSpaceDN/>
      <w:adjustRightInd/>
      <w:textAlignment w:val="auto"/>
    </w:pPr>
    <w:rPr>
      <w:rFonts w:ascii="Garamond" w:hAnsi="Garamond"/>
      <w:szCs w:val="24"/>
      <w:lang w:val="en-GB"/>
    </w:rPr>
  </w:style>
  <w:style w:type="character" w:customStyle="1" w:styleId="Heading3Char">
    <w:name w:val="Heading 3 Char"/>
    <w:basedOn w:val="DefaultParagraphFont"/>
    <w:link w:val="Heading3"/>
    <w:rsid w:val="00005F13"/>
    <w:rPr>
      <w:rFonts w:ascii="Garamond" w:hAnsi="Garamond"/>
      <w:spacing w:val="-3"/>
      <w:sz w:val="24"/>
      <w:u w:val="single"/>
    </w:rPr>
  </w:style>
  <w:style w:type="paragraph" w:customStyle="1" w:styleId="Text">
    <w:name w:val="Text"/>
    <w:basedOn w:val="Normal"/>
    <w:autoRedefine/>
    <w:rsid w:val="00817553"/>
    <w:pPr>
      <w:overflowPunct/>
      <w:autoSpaceDE/>
      <w:autoSpaceDN/>
      <w:adjustRightInd/>
      <w:textAlignment w:val="auto"/>
    </w:pPr>
    <w:rPr>
      <w:rFonts w:ascii="Garamond" w:hAnsi="Garamond"/>
      <w:szCs w:val="24"/>
      <w:lang w:val="en-GB"/>
    </w:rPr>
  </w:style>
  <w:style w:type="paragraph" w:styleId="Title">
    <w:name w:val="Title"/>
    <w:basedOn w:val="Normal"/>
    <w:qFormat/>
    <w:rsid w:val="00764D80"/>
    <w:pPr>
      <w:overflowPunct/>
      <w:autoSpaceDE/>
      <w:autoSpaceDN/>
      <w:adjustRightInd/>
      <w:spacing w:before="240" w:after="60"/>
      <w:jc w:val="center"/>
      <w:textAlignment w:val="auto"/>
      <w:outlineLvl w:val="0"/>
    </w:pPr>
    <w:rPr>
      <w:rFonts w:ascii="Arial Black" w:hAnsi="Arial Black"/>
      <w:b/>
      <w:kern w:val="28"/>
      <w:sz w:val="28"/>
      <w:szCs w:val="32"/>
      <w:lang w:val="en-GB"/>
    </w:rPr>
  </w:style>
  <w:style w:type="paragraph" w:customStyle="1" w:styleId="Quotation">
    <w:name w:val="Quotation"/>
    <w:basedOn w:val="Normal"/>
    <w:rsid w:val="00E6735B"/>
    <w:pPr>
      <w:ind w:left="360" w:right="360"/>
    </w:pPr>
    <w:rPr>
      <w:rFonts w:ascii="Trebuchet MS" w:hAnsi="Trebuchet MS"/>
      <w:sz w:val="20"/>
    </w:rPr>
  </w:style>
  <w:style w:type="character" w:customStyle="1" w:styleId="Heading6Char">
    <w:name w:val="Heading 6 Char"/>
    <w:basedOn w:val="DefaultParagraphFont"/>
    <w:link w:val="Heading6"/>
    <w:rsid w:val="00005F13"/>
    <w:rPr>
      <w:rFonts w:ascii="Garamond" w:hAnsi="Garamond"/>
      <w:sz w:val="28"/>
      <w:szCs w:val="24"/>
    </w:rPr>
  </w:style>
  <w:style w:type="character" w:customStyle="1" w:styleId="Heading1Char">
    <w:name w:val="Heading 1 Char"/>
    <w:basedOn w:val="DefaultParagraphFont"/>
    <w:link w:val="Heading1"/>
    <w:rsid w:val="00005F13"/>
    <w:rPr>
      <w:rFonts w:ascii="Arial" w:hAnsi="Arial"/>
      <w:b/>
      <w:caps/>
      <w:kern w:val="32"/>
      <w:sz w:val="24"/>
      <w:szCs w:val="32"/>
    </w:rPr>
  </w:style>
  <w:style w:type="character" w:customStyle="1" w:styleId="Heading2Char">
    <w:name w:val="Heading 2 Char"/>
    <w:basedOn w:val="DefaultParagraphFont"/>
    <w:link w:val="Heading2"/>
    <w:rsid w:val="00005F13"/>
    <w:rPr>
      <w:rFonts w:ascii="Arial" w:hAnsi="Arial"/>
      <w:iCs/>
      <w:sz w:val="24"/>
      <w:szCs w:val="24"/>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header" Target="head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Applications:Microsoft%20Office%202008:Office:Media:Templates:My%20Templates:ALP%20handout%20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Macintosh HD:Applications:Microsoft Office 2008:Office:Media:Templates:My Templates:ALP handout template.dot</Template>
  <TotalTime>1</TotalTime>
  <Pages>4</Pages>
  <Words>1589</Words>
  <Characters>9060</Characters>
  <Application>Microsoft Macintosh Word</Application>
  <DocSecurity>0</DocSecurity>
  <Lines>75</Lines>
  <Paragraphs>21</Paragraphs>
  <ScaleCrop>false</ScaleCrop>
  <HeadingPairs>
    <vt:vector size="4" baseType="variant">
      <vt:variant>
        <vt:lpstr>Title</vt:lpstr>
      </vt:variant>
      <vt:variant>
        <vt:i4>1</vt:i4>
      </vt:variant>
      <vt:variant>
        <vt:lpstr>Headings</vt:lpstr>
      </vt:variant>
      <vt:variant>
        <vt:i4>5</vt:i4>
      </vt:variant>
    </vt:vector>
  </HeadingPairs>
  <TitlesOfParts>
    <vt:vector size="6" baseType="lpstr">
      <vt:lpstr>A priori intuition and demonstration</vt:lpstr>
      <vt:lpstr>Doubt: a Wittgensteinian approach</vt:lpstr>
      <vt:lpstr>The peculiarity of scepticism</vt:lpstr>
      <vt:lpstr>What do I ‘know’?</vt:lpstr>
      <vt:lpstr>Meaning, doing and knowing</vt:lpstr>
      <vt:lpstr>A sceptical return</vt:lpstr>
    </vt:vector>
  </TitlesOfParts>
  <Company>Heythrop College</Company>
  <LinksUpToDate>false</LinksUpToDate>
  <CharactersWithSpaces>10628</CharactersWithSpaces>
  <SharedDoc>false</SharedDoc>
  <HLinks>
    <vt:vector size="12" baseType="variant">
      <vt:variant>
        <vt:i4>4194352</vt:i4>
      </vt:variant>
      <vt:variant>
        <vt:i4>2052</vt:i4>
      </vt:variant>
      <vt:variant>
        <vt:i4>1025</vt:i4>
      </vt:variant>
      <vt:variant>
        <vt:i4>1</vt:i4>
      </vt:variant>
      <vt:variant>
        <vt:lpwstr>ROUT_Logo_Black</vt:lpwstr>
      </vt:variant>
      <vt:variant>
        <vt:lpwstr/>
      </vt:variant>
      <vt:variant>
        <vt:i4>786443</vt:i4>
      </vt:variant>
      <vt:variant>
        <vt:i4>2110</vt:i4>
      </vt:variant>
      <vt:variant>
        <vt:i4>1026</vt:i4>
      </vt:variant>
      <vt:variant>
        <vt:i4>1</vt:i4>
      </vt:variant>
      <vt:variant>
        <vt:lpwstr>frankrgb</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 priori intuition and demonstration</dc:title>
  <dc:subject/>
  <dc:creator>Michael Lacewing</dc:creator>
  <cp:keywords/>
  <cp:lastModifiedBy>Michael Lacewing</cp:lastModifiedBy>
  <cp:revision>2</cp:revision>
  <dcterms:created xsi:type="dcterms:W3CDTF">2018-01-02T12:13:00Z</dcterms:created>
  <dcterms:modified xsi:type="dcterms:W3CDTF">2018-01-02T12:13:00Z</dcterms:modified>
</cp:coreProperties>
</file>