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5B9DA8A" w14:textId="77777777" w:rsidR="004C5789" w:rsidRPr="007A4F96" w:rsidRDefault="00A7276A" w:rsidP="004C5789">
      <w:pPr>
        <w:pStyle w:val="Title"/>
        <w:rPr>
          <w:rFonts w:ascii="Trebuchet MS" w:hAnsi="Trebuchet MS"/>
          <w:lang w:val="en-US"/>
        </w:rPr>
      </w:pPr>
      <w:r w:rsidRPr="007A4F96">
        <w:rPr>
          <w:rFonts w:ascii="Trebuchet MS" w:hAnsi="Trebuchet MS"/>
          <w:szCs w:val="22"/>
          <w:lang w:val="en-US"/>
        </w:rPr>
        <w:t>Conceptual schemes: an introduction</w:t>
      </w:r>
      <w:r w:rsidR="00FB3606" w:rsidRPr="007A4F96">
        <w:rPr>
          <w:rStyle w:val="FootnoteReference"/>
          <w:rFonts w:ascii="Trebuchet MS" w:hAnsi="Trebuchet MS"/>
          <w:szCs w:val="22"/>
          <w:lang w:val="en-US"/>
        </w:rPr>
        <w:footnoteReference w:id="1"/>
      </w:r>
    </w:p>
    <w:p w14:paraId="0601CB49" w14:textId="77777777" w:rsidR="004C5789" w:rsidRPr="007A4F96" w:rsidRDefault="00A7276A" w:rsidP="004C5789">
      <w:pPr>
        <w:pStyle w:val="Text"/>
        <w:rPr>
          <w:rFonts w:ascii="Trebuchet MS" w:hAnsi="Trebuchet MS"/>
        </w:rPr>
      </w:pPr>
    </w:p>
    <w:p w14:paraId="0DE05942" w14:textId="77777777" w:rsidR="004C5789" w:rsidRPr="007A4F96" w:rsidRDefault="00A7276A" w:rsidP="004C5789">
      <w:pPr>
        <w:pStyle w:val="Heading1"/>
        <w:rPr>
          <w:rFonts w:ascii="Trebuchet MS" w:hAnsi="Trebuchet MS"/>
        </w:rPr>
      </w:pPr>
      <w:r w:rsidRPr="007A4F96">
        <w:rPr>
          <w:rFonts w:ascii="Trebuchet MS" w:hAnsi="Trebuchet MS"/>
        </w:rPr>
        <w:t>Conceptual schemes</w:t>
      </w:r>
    </w:p>
    <w:p w14:paraId="72CCF31E" w14:textId="77777777" w:rsidR="004C5789" w:rsidRPr="007A4F96" w:rsidRDefault="00A7276A" w:rsidP="004C5789">
      <w:pPr>
        <w:pStyle w:val="Text"/>
        <w:rPr>
          <w:rFonts w:ascii="Trebuchet MS" w:hAnsi="Trebuchet MS"/>
        </w:rPr>
      </w:pPr>
      <w:r w:rsidRPr="007A4F96">
        <w:rPr>
          <w:rFonts w:ascii="Trebuchet MS" w:hAnsi="Trebuchet MS"/>
        </w:rPr>
        <w:t>Since the turn of the 20</w:t>
      </w:r>
      <w:r w:rsidRPr="007A4F96">
        <w:rPr>
          <w:rFonts w:ascii="Trebuchet MS" w:hAnsi="Trebuchet MS"/>
          <w:vertAlign w:val="superscript"/>
        </w:rPr>
        <w:t>th</w:t>
      </w:r>
      <w:r w:rsidRPr="007A4F96">
        <w:rPr>
          <w:rFonts w:ascii="Trebuchet MS" w:hAnsi="Trebuchet MS"/>
        </w:rPr>
        <w:t xml:space="preserve"> century, a number of thinkers have pointed out that human beings don’t all have the </w:t>
      </w:r>
      <w:r w:rsidRPr="007A4F96">
        <w:rPr>
          <w:rFonts w:ascii="Trebuchet MS" w:hAnsi="Trebuchet MS"/>
          <w:i/>
        </w:rPr>
        <w:t>same</w:t>
      </w:r>
      <w:r w:rsidRPr="007A4F96">
        <w:rPr>
          <w:rFonts w:ascii="Trebuchet MS" w:hAnsi="Trebuchet MS"/>
        </w:rPr>
        <w:t xml:space="preserve"> concepts. Instead, different cultures and different languages work with different se</w:t>
      </w:r>
      <w:r w:rsidRPr="007A4F96">
        <w:rPr>
          <w:rFonts w:ascii="Trebuchet MS" w:hAnsi="Trebuchet MS"/>
        </w:rPr>
        <w:t>ts of concepts or ‘conceptual schemes’. How should we understand this?</w:t>
      </w:r>
    </w:p>
    <w:p w14:paraId="3B97C44E" w14:textId="77777777" w:rsidR="004C5789" w:rsidRPr="007A4F96" w:rsidRDefault="00A7276A" w:rsidP="004C5789">
      <w:pPr>
        <w:pStyle w:val="Text"/>
        <w:rPr>
          <w:rFonts w:ascii="Trebuchet MS" w:hAnsi="Trebuchet MS"/>
        </w:rPr>
      </w:pPr>
      <w:bookmarkStart w:id="0" w:name="_GoBack"/>
      <w:bookmarkEnd w:id="0"/>
    </w:p>
    <w:p w14:paraId="4852A84C" w14:textId="77777777" w:rsidR="004C5789" w:rsidRPr="007A4F96" w:rsidRDefault="00A7276A" w:rsidP="004C5789">
      <w:pPr>
        <w:pStyle w:val="Text"/>
        <w:rPr>
          <w:rFonts w:ascii="Trebuchet MS" w:hAnsi="Trebuchet MS"/>
        </w:rPr>
      </w:pPr>
      <w:r w:rsidRPr="007A4F96">
        <w:rPr>
          <w:rFonts w:ascii="Trebuchet MS" w:hAnsi="Trebuchet MS"/>
        </w:rPr>
        <w:t>Philosophers and anthropologists who were interested in the differences in the ways in which people think of the world argued that there are two distinguishable elements to our experie</w:t>
      </w:r>
      <w:r w:rsidRPr="007A4F96">
        <w:rPr>
          <w:rFonts w:ascii="Trebuchet MS" w:hAnsi="Trebuchet MS"/>
        </w:rPr>
        <w:t xml:space="preserve">nce – the data of the senses and then the </w:t>
      </w:r>
      <w:r w:rsidRPr="007A4F96">
        <w:rPr>
          <w:rFonts w:ascii="Trebuchet MS" w:hAnsi="Trebuchet MS"/>
          <w:i/>
        </w:rPr>
        <w:t>interpretation</w:t>
      </w:r>
      <w:r w:rsidRPr="007A4F96">
        <w:rPr>
          <w:rFonts w:ascii="Trebuchet MS" w:hAnsi="Trebuchet MS"/>
        </w:rPr>
        <w:t xml:space="preserve"> of this data by a set of concepts. Our senses do not ‘let in’ ideas; rather, before we can form ideas, we must interpret what our senses tell us. (The data of the senses was sometimes thought of as p</w:t>
      </w:r>
      <w:r w:rsidRPr="007A4F96">
        <w:rPr>
          <w:rFonts w:ascii="Trebuchet MS" w:hAnsi="Trebuchet MS"/>
        </w:rPr>
        <w:t>urely physiological – the image on the retina, the vibrations of the ear drum, or the firings in the brain that these cause immediately.) On this data, different people would impose different conceptual schemes (usually thought of as cultural in some way).</w:t>
      </w:r>
      <w:r w:rsidRPr="007A4F96">
        <w:rPr>
          <w:rFonts w:ascii="Trebuchet MS" w:hAnsi="Trebuchet MS"/>
        </w:rPr>
        <w:t xml:space="preserve"> </w:t>
      </w:r>
    </w:p>
    <w:p w14:paraId="260F3BC9" w14:textId="77777777" w:rsidR="004C5789" w:rsidRPr="007A4F96" w:rsidRDefault="00A7276A" w:rsidP="004C5789">
      <w:pPr>
        <w:pStyle w:val="Text"/>
        <w:rPr>
          <w:rFonts w:ascii="Trebuchet MS" w:hAnsi="Trebuchet MS"/>
        </w:rPr>
      </w:pPr>
    </w:p>
    <w:p w14:paraId="31754F22" w14:textId="77777777" w:rsidR="004C5789" w:rsidRPr="007A4F96" w:rsidRDefault="00A7276A" w:rsidP="004C5789">
      <w:pPr>
        <w:pStyle w:val="Text"/>
        <w:rPr>
          <w:rFonts w:ascii="Trebuchet MS" w:hAnsi="Trebuchet MS"/>
          <w:sz w:val="18"/>
          <w:szCs w:val="18"/>
          <w:lang w:val="en-US"/>
        </w:rPr>
      </w:pPr>
      <w:r w:rsidRPr="007A4F96">
        <w:rPr>
          <w:rFonts w:ascii="Trebuchet MS" w:hAnsi="Trebuchet MS"/>
        </w:rPr>
        <w:t>It was then argued that these different conceptual schemes may be irreconcilable – that we can’t translate from one into another. The strongest form of this ‘conceptual relativism’ claims that because their conceptual schemes are fundamental to how peop</w:t>
      </w:r>
      <w:r w:rsidRPr="007A4F96">
        <w:rPr>
          <w:rFonts w:ascii="Trebuchet MS" w:hAnsi="Trebuchet MS"/>
        </w:rPr>
        <w:t>le experience and understand reality, people with different conceptual schemes have different ‘realities’.</w:t>
      </w:r>
    </w:p>
    <w:p w14:paraId="7C699F45" w14:textId="77777777" w:rsidR="004C5789" w:rsidRPr="007A4F96" w:rsidRDefault="00A7276A" w:rsidP="004C5789">
      <w:pPr>
        <w:pStyle w:val="Text"/>
        <w:rPr>
          <w:rFonts w:ascii="Trebuchet MS" w:hAnsi="Trebuchet MS"/>
        </w:rPr>
      </w:pPr>
    </w:p>
    <w:p w14:paraId="7B1004B0" w14:textId="77777777" w:rsidR="004C5789" w:rsidRPr="007A4F96" w:rsidRDefault="00A7276A" w:rsidP="004C5789">
      <w:pPr>
        <w:pStyle w:val="Text"/>
        <w:rPr>
          <w:rFonts w:ascii="Trebuchet MS" w:hAnsi="Trebuchet MS"/>
        </w:rPr>
      </w:pPr>
      <w:r w:rsidRPr="007A4F96">
        <w:rPr>
          <w:rFonts w:ascii="Trebuchet MS" w:hAnsi="Trebuchet MS"/>
        </w:rPr>
        <w:t>One famous version of this view is known as the Sapir-Whorf hypothesis, deriving from the linguist Edward Sapir and anthropologist Benjamin Whorf. T</w:t>
      </w:r>
      <w:r w:rsidRPr="007A4F96">
        <w:rPr>
          <w:rFonts w:ascii="Trebuchet MS" w:hAnsi="Trebuchet MS"/>
        </w:rPr>
        <w:t>hey were struck by the difficulties in translating between languages. For example, Whorf worked with Hopi Indians, and argued that the way they talked about time could not be expressed in English. But this isn’t just a matter of language – their language i</w:t>
      </w:r>
      <w:r w:rsidRPr="007A4F96">
        <w:rPr>
          <w:rFonts w:ascii="Trebuchet MS" w:hAnsi="Trebuchet MS"/>
        </w:rPr>
        <w:t xml:space="preserve">s a reflection of how they think, of their concepts: </w:t>
      </w:r>
    </w:p>
    <w:p w14:paraId="3090C00F" w14:textId="77777777" w:rsidR="004C5789" w:rsidRPr="007A4F96" w:rsidRDefault="00A7276A" w:rsidP="004C5789">
      <w:pPr>
        <w:pStyle w:val="Text"/>
        <w:rPr>
          <w:rFonts w:ascii="Trebuchet MS" w:hAnsi="Trebuchet MS"/>
        </w:rPr>
      </w:pPr>
    </w:p>
    <w:p w14:paraId="3C24DD7C" w14:textId="77777777" w:rsidR="004C5789" w:rsidRPr="007A4F96" w:rsidRDefault="00A7276A" w:rsidP="004C5789">
      <w:pPr>
        <w:pStyle w:val="Quotation"/>
      </w:pPr>
      <w:r w:rsidRPr="007A4F96">
        <w:t>We are inclined to think of language simply as a technique of expression, and not to realize that language first of all is a classification and arrangement of the stream of sensory experience which res</w:t>
      </w:r>
      <w:r w:rsidRPr="007A4F96">
        <w:t xml:space="preserve">ults in a certain world-order. </w:t>
      </w:r>
    </w:p>
    <w:p w14:paraId="6D51B64F" w14:textId="77777777" w:rsidR="004C5789" w:rsidRPr="007A4F96" w:rsidRDefault="00A7276A" w:rsidP="004C5789">
      <w:pPr>
        <w:pStyle w:val="Text"/>
        <w:rPr>
          <w:rFonts w:ascii="Trebuchet MS" w:hAnsi="Trebuchet MS"/>
        </w:rPr>
      </w:pPr>
    </w:p>
    <w:p w14:paraId="72CBF3DA" w14:textId="77777777" w:rsidR="004C5789" w:rsidRPr="007A4F96" w:rsidRDefault="00A7276A" w:rsidP="004C5789">
      <w:pPr>
        <w:pStyle w:val="Text"/>
        <w:rPr>
          <w:rFonts w:ascii="Trebuchet MS" w:hAnsi="Trebuchet MS"/>
        </w:rPr>
      </w:pPr>
      <w:r w:rsidRPr="007A4F96">
        <w:rPr>
          <w:rFonts w:ascii="Trebuchet MS" w:hAnsi="Trebuchet MS"/>
        </w:rPr>
        <w:t xml:space="preserve">So their very experience of time was different from ours, or as some thinkers put it – time is different for them: </w:t>
      </w:r>
    </w:p>
    <w:p w14:paraId="1556D57A" w14:textId="77777777" w:rsidR="004C5789" w:rsidRPr="007A4F96" w:rsidRDefault="00A7276A" w:rsidP="004C5789">
      <w:pPr>
        <w:pStyle w:val="Text"/>
        <w:rPr>
          <w:rFonts w:ascii="Trebuchet MS" w:hAnsi="Trebuchet MS"/>
        </w:rPr>
      </w:pPr>
    </w:p>
    <w:p w14:paraId="3F4876B9" w14:textId="77777777" w:rsidR="004C5789" w:rsidRPr="007A4F96" w:rsidRDefault="00A7276A" w:rsidP="004C5789">
      <w:pPr>
        <w:pStyle w:val="Quotation"/>
      </w:pPr>
      <w:r w:rsidRPr="007A4F96">
        <w:t>We are thus introduced to a new principle of relativity, which holds that all observers are not led by the</w:t>
      </w:r>
      <w:r w:rsidRPr="007A4F96">
        <w:t xml:space="preserve"> same physical evidence [i.e. stream of sensory experience] to the same picture of the universe, unless their linguistic backgrounds are similar, or can in some way be calibrated’ (</w:t>
      </w:r>
      <w:r w:rsidRPr="007A4F96">
        <w:rPr>
          <w:i/>
        </w:rPr>
        <w:t>Language, Thought and Reality</w:t>
      </w:r>
      <w:r w:rsidRPr="007A4F96">
        <w:t xml:space="preserve">, p. 55). </w:t>
      </w:r>
    </w:p>
    <w:p w14:paraId="59FF6309" w14:textId="77777777" w:rsidR="004C5789" w:rsidRPr="007A4F96" w:rsidRDefault="00A7276A" w:rsidP="004C5789">
      <w:pPr>
        <w:pStyle w:val="Text"/>
        <w:rPr>
          <w:rFonts w:ascii="Trebuchet MS" w:hAnsi="Trebuchet MS"/>
        </w:rPr>
      </w:pPr>
    </w:p>
    <w:p w14:paraId="35872337" w14:textId="77777777" w:rsidR="004C5789" w:rsidRPr="007A4F96" w:rsidRDefault="00A7276A" w:rsidP="004C5789">
      <w:pPr>
        <w:pStyle w:val="Text"/>
        <w:rPr>
          <w:rFonts w:ascii="Trebuchet MS" w:hAnsi="Trebuchet MS"/>
        </w:rPr>
      </w:pPr>
      <w:r w:rsidRPr="007A4F96">
        <w:rPr>
          <w:rFonts w:ascii="Trebuchet MS" w:hAnsi="Trebuchet MS"/>
        </w:rPr>
        <w:lastRenderedPageBreak/>
        <w:t>So if people have different langua</w:t>
      </w:r>
      <w:r w:rsidRPr="007A4F96">
        <w:rPr>
          <w:rFonts w:ascii="Trebuchet MS" w:hAnsi="Trebuchet MS"/>
        </w:rPr>
        <w:t>ges, different conceptual schemes, then they will end up with different pictures of the universe.</w:t>
      </w:r>
    </w:p>
    <w:p w14:paraId="1C5ED1BF" w14:textId="77777777" w:rsidR="004C5789" w:rsidRPr="007A4F96" w:rsidRDefault="00A7276A" w:rsidP="004C5789">
      <w:pPr>
        <w:pStyle w:val="Text"/>
        <w:rPr>
          <w:rFonts w:ascii="Trebuchet MS" w:hAnsi="Trebuchet MS"/>
        </w:rPr>
      </w:pPr>
    </w:p>
    <w:p w14:paraId="7CA13AEA" w14:textId="77777777" w:rsidR="004C5789" w:rsidRPr="007A4F96" w:rsidRDefault="00A7276A" w:rsidP="004C5789">
      <w:pPr>
        <w:pStyle w:val="Heading1"/>
        <w:rPr>
          <w:rFonts w:ascii="Trebuchet MS" w:hAnsi="Trebuchet MS"/>
        </w:rPr>
      </w:pPr>
      <w:r w:rsidRPr="007A4F96">
        <w:rPr>
          <w:rFonts w:ascii="Trebuchet MS" w:hAnsi="Trebuchet MS"/>
        </w:rPr>
        <w:t>An implication: Conceptual relativism</w:t>
      </w:r>
    </w:p>
    <w:p w14:paraId="505E1B7E" w14:textId="77777777" w:rsidR="004C5789" w:rsidRPr="007A4F96" w:rsidRDefault="00A7276A" w:rsidP="004C5789">
      <w:pPr>
        <w:pStyle w:val="Text"/>
        <w:rPr>
          <w:rFonts w:ascii="Trebuchet MS" w:hAnsi="Trebuchet MS"/>
        </w:rPr>
      </w:pPr>
      <w:r w:rsidRPr="007A4F96">
        <w:rPr>
          <w:rFonts w:ascii="Trebuchet MS" w:hAnsi="Trebuchet MS"/>
        </w:rPr>
        <w:t>If there are different schemes, but we can translate between them, then Whorf is wrong – this doesn’t lead to ‘relativi</w:t>
      </w:r>
      <w:r w:rsidRPr="007A4F96">
        <w:rPr>
          <w:rFonts w:ascii="Trebuchet MS" w:hAnsi="Trebuchet MS"/>
        </w:rPr>
        <w:t xml:space="preserve">ty’. However, the view that there are different conceptual schemes </w:t>
      </w:r>
      <w:r w:rsidRPr="007A4F96">
        <w:rPr>
          <w:rFonts w:ascii="Trebuchet MS" w:hAnsi="Trebuchet MS"/>
          <w:i/>
        </w:rPr>
        <w:t>and</w:t>
      </w:r>
      <w:r w:rsidRPr="007A4F96">
        <w:rPr>
          <w:rFonts w:ascii="Trebuchet MS" w:hAnsi="Trebuchet MS"/>
        </w:rPr>
        <w:t xml:space="preserve"> that we cannot translate between them leads to the conclusion that truth is relative to conceptual schemes. </w:t>
      </w:r>
    </w:p>
    <w:p w14:paraId="45518D9C" w14:textId="77777777" w:rsidR="004C5789" w:rsidRPr="007A4F96" w:rsidRDefault="00A7276A" w:rsidP="004C5789">
      <w:pPr>
        <w:pStyle w:val="Text"/>
        <w:rPr>
          <w:rFonts w:ascii="Trebuchet MS" w:hAnsi="Trebuchet MS"/>
        </w:rPr>
      </w:pPr>
    </w:p>
    <w:p w14:paraId="64B27588" w14:textId="77777777" w:rsidR="004C5789" w:rsidRPr="007A4F96" w:rsidRDefault="00A7276A" w:rsidP="004C5789">
      <w:pPr>
        <w:pStyle w:val="Text"/>
        <w:rPr>
          <w:rFonts w:ascii="Trebuchet MS" w:hAnsi="Trebuchet MS"/>
        </w:rPr>
      </w:pPr>
      <w:r w:rsidRPr="007A4F96">
        <w:rPr>
          <w:rFonts w:ascii="Trebuchet MS" w:hAnsi="Trebuchet MS"/>
        </w:rPr>
        <w:t xml:space="preserve">Some thinkers have gone so far as to claim that </w:t>
      </w:r>
      <w:r w:rsidRPr="007A4F96">
        <w:rPr>
          <w:rFonts w:ascii="Trebuchet MS" w:hAnsi="Trebuchet MS"/>
          <w:i/>
        </w:rPr>
        <w:t>reality</w:t>
      </w:r>
      <w:r w:rsidRPr="007A4F96">
        <w:rPr>
          <w:rFonts w:ascii="Trebuchet MS" w:hAnsi="Trebuchet MS"/>
        </w:rPr>
        <w:t xml:space="preserve"> is relative to conc</w:t>
      </w:r>
      <w:r w:rsidRPr="007A4F96">
        <w:rPr>
          <w:rFonts w:ascii="Trebuchet MS" w:hAnsi="Trebuchet MS"/>
        </w:rPr>
        <w:t>eptual schemes, so that people with different conceptual schemes experience different worlds. But this is very difficult to defend, and it may not even make sense. First, it supposes that language somehow ‘constructs’ reality – but the world would still ex</w:t>
      </w:r>
      <w:r w:rsidRPr="007A4F96">
        <w:rPr>
          <w:rFonts w:ascii="Trebuchet MS" w:hAnsi="Trebuchet MS"/>
        </w:rPr>
        <w:t>ist even if no one spoke any language. It existed before language, after all! Second, as the quotation from Whorf indicates, the theory is usually developed by contrasting something that is the ‘same’ (physical evidence, sensory experience) with the differ</w:t>
      </w:r>
      <w:r w:rsidRPr="007A4F96">
        <w:rPr>
          <w:rFonts w:ascii="Trebuchet MS" w:hAnsi="Trebuchet MS"/>
        </w:rPr>
        <w:t>ing interpretations imposed by different conceptual schemes. So there is something that is ‘real’ which is ‘outside’ or ‘before’ or ‘beyond’ all interpretations.</w:t>
      </w:r>
    </w:p>
    <w:p w14:paraId="2D53D6C5" w14:textId="77777777" w:rsidR="004C5789" w:rsidRPr="007A4F96" w:rsidRDefault="00A7276A" w:rsidP="004C5789">
      <w:pPr>
        <w:pStyle w:val="Text"/>
        <w:rPr>
          <w:rFonts w:ascii="Trebuchet MS" w:hAnsi="Trebuchet MS"/>
        </w:rPr>
      </w:pPr>
    </w:p>
    <w:p w14:paraId="046320C8" w14:textId="77777777" w:rsidR="004C5789" w:rsidRPr="007A4F96" w:rsidRDefault="00A7276A" w:rsidP="004C5789">
      <w:pPr>
        <w:pStyle w:val="Text"/>
        <w:rPr>
          <w:rFonts w:ascii="Trebuchet MS" w:hAnsi="Trebuchet MS"/>
        </w:rPr>
      </w:pPr>
      <w:r w:rsidRPr="007A4F96">
        <w:rPr>
          <w:rFonts w:ascii="Trebuchet MS" w:hAnsi="Trebuchet MS"/>
        </w:rPr>
        <w:t xml:space="preserve">The weaker claim, that truth is relative to conceptual schemes, says this: because there are </w:t>
      </w:r>
      <w:r w:rsidRPr="007A4F96">
        <w:rPr>
          <w:rFonts w:ascii="Trebuchet MS" w:hAnsi="Trebuchet MS"/>
        </w:rPr>
        <w:t>conceptual schemes which cannot be translated into each other, a proposition in one scheme can be true without being something that the other scheme can express at all. So there is no one set of truths – or Truth – which describes how the world is. (Again,</w:t>
      </w:r>
      <w:r w:rsidRPr="007A4F96">
        <w:rPr>
          <w:rFonts w:ascii="Trebuchet MS" w:hAnsi="Trebuchet MS"/>
        </w:rPr>
        <w:t xml:space="preserve"> if we can translate between the schemes, then any true proposition in one scheme has an equivalent translation in another – so truth is not relative.)</w:t>
      </w:r>
    </w:p>
    <w:p w14:paraId="69ED4AA2" w14:textId="77777777" w:rsidR="004C5789" w:rsidRPr="007A4F96" w:rsidRDefault="00A7276A" w:rsidP="004C5789">
      <w:pPr>
        <w:pStyle w:val="Text"/>
        <w:rPr>
          <w:rFonts w:ascii="Trebuchet MS" w:hAnsi="Trebuchet MS"/>
        </w:rPr>
      </w:pPr>
    </w:p>
    <w:p w14:paraId="4F55089C" w14:textId="77777777" w:rsidR="004C5789" w:rsidRPr="007A4F96" w:rsidRDefault="00A7276A" w:rsidP="004C5789">
      <w:pPr>
        <w:pStyle w:val="Heading1"/>
        <w:rPr>
          <w:rFonts w:ascii="Trebuchet MS" w:hAnsi="Trebuchet MS"/>
        </w:rPr>
      </w:pPr>
      <w:r w:rsidRPr="007A4F96">
        <w:rPr>
          <w:rFonts w:ascii="Trebuchet MS" w:hAnsi="Trebuchet MS"/>
        </w:rPr>
        <w:t>An objection</w:t>
      </w:r>
    </w:p>
    <w:p w14:paraId="0C3827C2" w14:textId="77777777" w:rsidR="004C5789" w:rsidRPr="007A4F96" w:rsidRDefault="00A7276A" w:rsidP="004C5789">
      <w:pPr>
        <w:pStyle w:val="Text"/>
        <w:rPr>
          <w:rFonts w:ascii="Trebuchet MS" w:hAnsi="Trebuchet MS"/>
        </w:rPr>
      </w:pPr>
      <w:r w:rsidRPr="007A4F96">
        <w:rPr>
          <w:rFonts w:ascii="Trebuchet MS" w:hAnsi="Trebuchet MS"/>
        </w:rPr>
        <w:t>Conceptual relativism looks like an empirical claim – we need to go and find out whether t</w:t>
      </w:r>
      <w:r w:rsidRPr="007A4F96">
        <w:rPr>
          <w:rFonts w:ascii="Trebuchet MS" w:hAnsi="Trebuchet MS"/>
        </w:rPr>
        <w:t>here are any conceptual schemes which are not translatable. But some philosophers have argued that the account of the relation between experience and conceptual schemes given above doesn’t make sense. Whorf says that language (or the conceptual scheme embo</w:t>
      </w:r>
      <w:r w:rsidRPr="007A4F96">
        <w:rPr>
          <w:rFonts w:ascii="Trebuchet MS" w:hAnsi="Trebuchet MS"/>
        </w:rPr>
        <w:t>died in a language) ‘organizes’ or ‘arranges’ our experience of the world. You can only organize something if it has parts or contains objects – you can organize the clothes in a wardrobe, but you can’t organize a wardrobe itself. If we claim that a concep</w:t>
      </w:r>
      <w:r w:rsidRPr="007A4F96">
        <w:rPr>
          <w:rFonts w:ascii="Trebuchet MS" w:hAnsi="Trebuchet MS"/>
        </w:rPr>
        <w:t>tual scheme organizes our ‘experience’, then we must then of experience as comprised of experiences. So here is something that different conceptual schemes all have in common – the set of experiences (that they organize differently). But in talking about t</w:t>
      </w:r>
      <w:r w:rsidRPr="007A4F96">
        <w:rPr>
          <w:rFonts w:ascii="Trebuchet MS" w:hAnsi="Trebuchet MS"/>
        </w:rPr>
        <w:t xml:space="preserve">hese experiences, how do we pick them out? We can only do so in familiar ways – feeling cold, seeing a plant, smelling a rose. Any conceptual scheme which starts with </w:t>
      </w:r>
      <w:r w:rsidRPr="007A4F96">
        <w:rPr>
          <w:rFonts w:ascii="Trebuchet MS" w:hAnsi="Trebuchet MS"/>
          <w:i/>
        </w:rPr>
        <w:t>these</w:t>
      </w:r>
      <w:r w:rsidRPr="007A4F96">
        <w:rPr>
          <w:rFonts w:ascii="Trebuchet MS" w:hAnsi="Trebuchet MS"/>
        </w:rPr>
        <w:t xml:space="preserve"> sorts of experiences will end up very similar to our own, and so we </w:t>
      </w:r>
      <w:r w:rsidRPr="007A4F96">
        <w:rPr>
          <w:rFonts w:ascii="Trebuchet MS" w:hAnsi="Trebuchet MS"/>
          <w:i/>
        </w:rPr>
        <w:t>will</w:t>
      </w:r>
      <w:r w:rsidRPr="007A4F96">
        <w:rPr>
          <w:rFonts w:ascii="Trebuchet MS" w:hAnsi="Trebuchet MS"/>
        </w:rPr>
        <w:t xml:space="preserve"> be able to</w:t>
      </w:r>
      <w:r w:rsidRPr="007A4F96">
        <w:rPr>
          <w:rFonts w:ascii="Trebuchet MS" w:hAnsi="Trebuchet MS"/>
        </w:rPr>
        <w:t xml:space="preserve"> translate between the two schemes.</w:t>
      </w:r>
    </w:p>
    <w:p w14:paraId="615A0435" w14:textId="77777777" w:rsidR="004C5789" w:rsidRPr="007A4F96" w:rsidRDefault="00A7276A" w:rsidP="004C5789">
      <w:pPr>
        <w:pStyle w:val="Text"/>
        <w:rPr>
          <w:rFonts w:ascii="Trebuchet MS" w:hAnsi="Trebuchet MS"/>
        </w:rPr>
      </w:pPr>
    </w:p>
    <w:p w14:paraId="55605113" w14:textId="77777777" w:rsidR="004C5789" w:rsidRPr="007A4F96" w:rsidRDefault="00A7276A" w:rsidP="004C5789">
      <w:pPr>
        <w:pStyle w:val="Text"/>
        <w:rPr>
          <w:rFonts w:ascii="Trebuchet MS" w:hAnsi="Trebuchet MS"/>
        </w:rPr>
      </w:pPr>
      <w:r w:rsidRPr="007A4F96">
        <w:rPr>
          <w:rFonts w:ascii="Trebuchet MS" w:hAnsi="Trebuchet MS"/>
        </w:rPr>
        <w:t xml:space="preserve">Of course, there may be </w:t>
      </w:r>
      <w:r w:rsidRPr="007A4F96">
        <w:rPr>
          <w:rFonts w:ascii="Trebuchet MS" w:hAnsi="Trebuchet MS"/>
          <w:i/>
        </w:rPr>
        <w:t>parts</w:t>
      </w:r>
      <w:r w:rsidRPr="007A4F96">
        <w:rPr>
          <w:rFonts w:ascii="Trebuchet MS" w:hAnsi="Trebuchet MS"/>
        </w:rPr>
        <w:t xml:space="preserve"> of a scheme that cannot be translated. And perhaps this leads to a mild form of conceptual relativism. But it will be very mild. Because there are parts of the scheme that can be translated</w:t>
      </w:r>
      <w:r w:rsidRPr="007A4F96">
        <w:rPr>
          <w:rFonts w:ascii="Trebuchet MS" w:hAnsi="Trebuchet MS"/>
        </w:rPr>
        <w:t>, we can use these to understand the parts that we cannot translate. We can then add these new thoughts into our conceptual scheme – we can expand our concepts. So we don’t end up with the view that there is no one set of truths that describes reality, jus</w:t>
      </w:r>
      <w:r w:rsidRPr="007A4F96">
        <w:rPr>
          <w:rFonts w:ascii="Trebuchet MS" w:hAnsi="Trebuchet MS"/>
        </w:rPr>
        <w:t xml:space="preserve">t that we will need a very expanded conceptual scheme to provide the means for expressing these truths. </w:t>
      </w:r>
    </w:p>
    <w:p w14:paraId="6B132E5A" w14:textId="77777777" w:rsidR="004C5789" w:rsidRPr="007A4F96" w:rsidRDefault="00A7276A" w:rsidP="004C5789">
      <w:pPr>
        <w:pStyle w:val="Text"/>
        <w:rPr>
          <w:rFonts w:ascii="Trebuchet MS" w:hAnsi="Trebuchet MS"/>
        </w:rPr>
      </w:pPr>
    </w:p>
    <w:p w14:paraId="59E6147A" w14:textId="77777777" w:rsidR="004C5789" w:rsidRPr="007A4F96" w:rsidRDefault="00A7276A" w:rsidP="004C5789">
      <w:pPr>
        <w:pStyle w:val="Text"/>
        <w:rPr>
          <w:rFonts w:ascii="Trebuchet MS" w:hAnsi="Trebuchet MS"/>
        </w:rPr>
      </w:pPr>
      <w:r w:rsidRPr="007A4F96">
        <w:rPr>
          <w:rFonts w:ascii="Trebuchet MS" w:hAnsi="Trebuchet MS"/>
        </w:rPr>
        <w:t>The metaphor of ‘organizing’ should perhaps be rejected. But that doesn’t mean we avoid conceptual relativism. The second part of the answer assumes t</w:t>
      </w:r>
      <w:r w:rsidRPr="007A4F96">
        <w:rPr>
          <w:rFonts w:ascii="Trebuchet MS" w:hAnsi="Trebuchet MS"/>
        </w:rPr>
        <w:t>hat we can always combine different conceptual schemes. But this is questionable. A popular example is given by colour concepts. Different cultures, it seems, carve up the colour spectrum differently. Suppose that one culture uses just one concept in think</w:t>
      </w:r>
      <w:r w:rsidRPr="007A4F96">
        <w:rPr>
          <w:rFonts w:ascii="Trebuchet MS" w:hAnsi="Trebuchet MS"/>
        </w:rPr>
        <w:t>ing about what we think of as two colours, blue and green. We cannot combine all three concepts in one scheme, since they conflict. In our scheme, we can say – truly – ‘it is green but not blue’; in theirs, it is impossible to say this. Either you think of</w:t>
      </w:r>
      <w:r w:rsidRPr="007A4F96">
        <w:rPr>
          <w:rFonts w:ascii="Trebuchet MS" w:hAnsi="Trebuchet MS"/>
        </w:rPr>
        <w:t xml:space="preserve"> blue and green (as we would say) as two separate colours or as one colour.</w:t>
      </w:r>
    </w:p>
    <w:p w14:paraId="6AAC67CE" w14:textId="77777777" w:rsidR="004C5789" w:rsidRPr="007A4F96" w:rsidRDefault="00A7276A" w:rsidP="004C5789">
      <w:pPr>
        <w:pStyle w:val="Text"/>
        <w:rPr>
          <w:rFonts w:ascii="Trebuchet MS" w:hAnsi="Trebuchet MS"/>
        </w:rPr>
      </w:pPr>
    </w:p>
    <w:p w14:paraId="731741B8" w14:textId="77777777" w:rsidR="004C5789" w:rsidRPr="007A4F96" w:rsidRDefault="00A7276A" w:rsidP="004C5789">
      <w:pPr>
        <w:pStyle w:val="Text"/>
        <w:rPr>
          <w:rFonts w:ascii="Trebuchet MS" w:hAnsi="Trebuchet MS"/>
        </w:rPr>
      </w:pPr>
      <w:r w:rsidRPr="007A4F96">
        <w:rPr>
          <w:rFonts w:ascii="Trebuchet MS" w:hAnsi="Trebuchet MS"/>
        </w:rPr>
        <w:t xml:space="preserve">However, it is misleading to say that ‘truth is relative to conceptual schemes’. This would suggest that that what is true according to one scheme is </w:t>
      </w:r>
      <w:r w:rsidRPr="007A4F96">
        <w:rPr>
          <w:rFonts w:ascii="Trebuchet MS" w:hAnsi="Trebuchet MS"/>
          <w:i/>
        </w:rPr>
        <w:t>false</w:t>
      </w:r>
      <w:r w:rsidRPr="007A4F96">
        <w:rPr>
          <w:rFonts w:ascii="Trebuchet MS" w:hAnsi="Trebuchet MS"/>
        </w:rPr>
        <w:t xml:space="preserve"> in another. But what we</w:t>
      </w:r>
      <w:r w:rsidRPr="007A4F96">
        <w:rPr>
          <w:rFonts w:ascii="Trebuchet MS" w:hAnsi="Trebuchet MS"/>
        </w:rPr>
        <w:t xml:space="preserve"> have said is that what is true in one scheme </w:t>
      </w:r>
      <w:r w:rsidRPr="007A4F96">
        <w:rPr>
          <w:rFonts w:ascii="Trebuchet MS" w:hAnsi="Trebuchet MS"/>
          <w:i/>
        </w:rPr>
        <w:t>cannot be expressed</w:t>
      </w:r>
      <w:r w:rsidRPr="007A4F96">
        <w:rPr>
          <w:rFonts w:ascii="Trebuchet MS" w:hAnsi="Trebuchet MS"/>
        </w:rPr>
        <w:t xml:space="preserve"> in another. In this situation, there is no </w:t>
      </w:r>
      <w:r w:rsidRPr="007A4F96">
        <w:rPr>
          <w:rFonts w:ascii="Trebuchet MS" w:hAnsi="Trebuchet MS"/>
          <w:i/>
        </w:rPr>
        <w:t>disagreement</w:t>
      </w:r>
      <w:r w:rsidRPr="007A4F96">
        <w:rPr>
          <w:rFonts w:ascii="Trebuchet MS" w:hAnsi="Trebuchet MS"/>
        </w:rPr>
        <w:t xml:space="preserve"> over what is true – to disagree, the two schemes would have to be able to express the same proposition (e.g. ‘it is green but not blue</w:t>
      </w:r>
      <w:r w:rsidRPr="007A4F96">
        <w:rPr>
          <w:rFonts w:ascii="Trebuchet MS" w:hAnsi="Trebuchet MS"/>
        </w:rPr>
        <w:t>’). But this is what they cannot do.</w:t>
      </w:r>
    </w:p>
    <w:p w14:paraId="5E4121A9" w14:textId="77777777" w:rsidR="004C5789" w:rsidRPr="007A4F96" w:rsidRDefault="00A7276A" w:rsidP="004C5789">
      <w:pPr>
        <w:pStyle w:val="Text"/>
        <w:rPr>
          <w:rFonts w:ascii="Trebuchet MS" w:hAnsi="Trebuchet MS"/>
        </w:rPr>
      </w:pPr>
    </w:p>
    <w:p w14:paraId="03B526F1" w14:textId="77777777" w:rsidR="004C5789" w:rsidRPr="007A4F96" w:rsidDel="005073C4" w:rsidRDefault="00A7276A" w:rsidP="004C5789">
      <w:pPr>
        <w:pStyle w:val="Text"/>
        <w:rPr>
          <w:rFonts w:ascii="Trebuchet MS" w:hAnsi="Trebuchet MS"/>
        </w:rPr>
      </w:pPr>
      <w:r w:rsidRPr="007A4F96">
        <w:rPr>
          <w:rFonts w:ascii="Trebuchet MS" w:hAnsi="Trebuchet MS"/>
        </w:rPr>
        <w:t xml:space="preserve">We end up with the somewhat unsurprising position that in order to state something true, you must be able to state it. But what you can state depends on what concepts you have. However, we have not established </w:t>
      </w:r>
      <w:r w:rsidRPr="007A4F96">
        <w:rPr>
          <w:rFonts w:ascii="Trebuchet MS" w:hAnsi="Trebuchet MS"/>
          <w:i/>
        </w:rPr>
        <w:t>just how</w:t>
      </w:r>
      <w:r w:rsidRPr="007A4F96">
        <w:rPr>
          <w:rFonts w:ascii="Trebuchet MS" w:hAnsi="Trebuchet MS"/>
          <w:i/>
        </w:rPr>
        <w:t xml:space="preserve"> different</w:t>
      </w:r>
      <w:r w:rsidRPr="007A4F96">
        <w:rPr>
          <w:rFonts w:ascii="Trebuchet MS" w:hAnsi="Trebuchet MS"/>
        </w:rPr>
        <w:t xml:space="preserve"> such conceptual schemes can be.</w:t>
      </w:r>
    </w:p>
    <w:sectPr w:rsidR="004C5789" w:rsidRPr="007A4F96" w:rsidDel="005073C4" w:rsidSect="004C5789">
      <w:headerReference w:type="default" r:id="rId7"/>
      <w:headerReference w:type="first" r:id="rId8"/>
      <w:pgSz w:w="11900" w:h="16840"/>
      <w:pgMar w:top="1440" w:right="1800" w:bottom="1440" w:left="1800" w:header="708" w:footer="708" w:gutter="0"/>
      <w:cols w:space="708"/>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AD6EC34" w14:textId="77777777" w:rsidR="00A7276A" w:rsidRDefault="00A7276A">
      <w:r>
        <w:separator/>
      </w:r>
    </w:p>
  </w:endnote>
  <w:endnote w:type="continuationSeparator" w:id="0">
    <w:p w14:paraId="19B5E129" w14:textId="77777777" w:rsidR="00A7276A" w:rsidRDefault="00A727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88BE3CA" w14:textId="77777777" w:rsidR="00A7276A" w:rsidRDefault="00A7276A">
      <w:r>
        <w:separator/>
      </w:r>
    </w:p>
  </w:footnote>
  <w:footnote w:type="continuationSeparator" w:id="0">
    <w:p w14:paraId="6886C8BB" w14:textId="77777777" w:rsidR="00A7276A" w:rsidRDefault="00A7276A">
      <w:r>
        <w:continuationSeparator/>
      </w:r>
    </w:p>
  </w:footnote>
  <w:footnote w:id="1">
    <w:p w14:paraId="4444AA92" w14:textId="77777777" w:rsidR="00FB3606" w:rsidRPr="00FB3606" w:rsidRDefault="00FB3606">
      <w:pPr>
        <w:pStyle w:val="FootnoteText"/>
      </w:pPr>
      <w:r>
        <w:rPr>
          <w:rStyle w:val="FootnoteReference"/>
        </w:rPr>
        <w:footnoteRef/>
      </w:r>
      <w:r>
        <w:t xml:space="preserve"> This handout is based on Lacewing, M. (2008) </w:t>
      </w:r>
      <w:r>
        <w:rPr>
          <w:i/>
        </w:rPr>
        <w:t>Philosophy for AS</w:t>
      </w:r>
      <w:r w:rsidR="007A4F96">
        <w:t>, London: Routledge, pp. 21-4.</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F73B8C1" w14:textId="77777777" w:rsidR="004C5789" w:rsidRDefault="00A7276A" w:rsidP="004C5789">
    <w:pPr>
      <w:pStyle w:val="Header"/>
      <w:jc w:val="right"/>
    </w:pPr>
  </w:p>
  <w:p w14:paraId="558398DB" w14:textId="77777777" w:rsidR="004C5789" w:rsidRDefault="00A7276A" w:rsidP="004C5789">
    <w:pPr>
      <w:pStyle w:val="Header"/>
      <w:jc w:val="right"/>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82094E2" w14:textId="77777777" w:rsidR="004C5789" w:rsidRDefault="00A7276A" w:rsidP="004C5789">
    <w:pPr>
      <w:pStyle w:val="Header"/>
      <w:jc w:val="right"/>
    </w:pPr>
    <w:r>
      <w:t xml:space="preserve">© </w:t>
    </w:r>
    <w:r>
      <w:fldChar w:fldCharType="begin"/>
    </w:r>
    <w:r>
      <w:instrText xml:space="preserve"> CONTACT _Con-3D73706F1 \c \s \l </w:instrText>
    </w:r>
    <w:r>
      <w:fldChar w:fldCharType="separate"/>
    </w:r>
    <w:r w:rsidRPr="00B33B17">
      <w:rPr>
        <w:noProof/>
        <w:lang w:val="en-US"/>
      </w:rPr>
      <w:t>Michael Lacewing</w:t>
    </w:r>
    <w:r>
      <w:fldChar w:fldCharType="end"/>
    </w:r>
  </w:p>
  <w:p w14:paraId="14FCA395" w14:textId="77777777" w:rsidR="004C5789" w:rsidRDefault="00A7276A" w:rsidP="004C5789">
    <w:pPr>
      <w:pStyle w:val="Header"/>
      <w:jc w:val="right"/>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2F210F"/>
    <w:multiLevelType w:val="hybridMultilevel"/>
    <w:tmpl w:val="F9FCC7CE"/>
    <w:lvl w:ilvl="0" w:tplc="0D780134">
      <w:start w:val="1"/>
      <w:numFmt w:val="lowerLetter"/>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attachedTemplate r:id="rId1"/>
  <w:revisionView w:inkAnnotations="0"/>
  <w:doNotTrackMove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62EB9"/>
    <w:rsid w:val="007A4F96"/>
    <w:rsid w:val="00A7276A"/>
    <w:rsid w:val="00FB36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5BB0DFB7"/>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93BBD"/>
    <w:rPr>
      <w:sz w:val="24"/>
      <w:szCs w:val="24"/>
      <w:lang w:val="en-GB"/>
    </w:rPr>
  </w:style>
  <w:style w:type="paragraph" w:styleId="Heading1">
    <w:name w:val="heading 1"/>
    <w:basedOn w:val="Normal"/>
    <w:next w:val="Normal"/>
    <w:qFormat/>
    <w:rsid w:val="00764D80"/>
    <w:pPr>
      <w:keepNext/>
      <w:spacing w:before="240" w:after="60"/>
      <w:outlineLvl w:val="0"/>
    </w:pPr>
    <w:rPr>
      <w:rFonts w:ascii="Arial" w:hAnsi="Arial"/>
      <w:b/>
      <w:caps/>
      <w:kern w:val="32"/>
      <w:szCs w:val="32"/>
    </w:rPr>
  </w:style>
  <w:style w:type="paragraph" w:styleId="Heading2">
    <w:name w:val="heading 2"/>
    <w:basedOn w:val="Normal"/>
    <w:next w:val="Normal"/>
    <w:qFormat/>
    <w:rsid w:val="00563458"/>
    <w:pPr>
      <w:keepNext/>
      <w:autoSpaceDE w:val="0"/>
      <w:autoSpaceDN w:val="0"/>
      <w:adjustRightInd w:val="0"/>
      <w:outlineLvl w:val="1"/>
    </w:pPr>
    <w:rPr>
      <w:rFonts w:ascii="Arial" w:hAnsi="Arial"/>
      <w:iCs/>
      <w:u w:val="single"/>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Indent">
    <w:name w:val="Body Text Indent"/>
    <w:basedOn w:val="Normal"/>
    <w:rsid w:val="003C2E94"/>
    <w:pPr>
      <w:ind w:left="374"/>
    </w:pPr>
    <w:rPr>
      <w:rFonts w:ascii="Garamond" w:hAnsi="Garamond"/>
      <w:sz w:val="20"/>
    </w:rPr>
  </w:style>
  <w:style w:type="paragraph" w:styleId="Header">
    <w:name w:val="header"/>
    <w:basedOn w:val="Normal"/>
    <w:rsid w:val="00B33B17"/>
    <w:pPr>
      <w:tabs>
        <w:tab w:val="center" w:pos="4320"/>
        <w:tab w:val="right" w:pos="8640"/>
      </w:tabs>
    </w:pPr>
  </w:style>
  <w:style w:type="paragraph" w:styleId="Footer">
    <w:name w:val="footer"/>
    <w:basedOn w:val="Normal"/>
    <w:semiHidden/>
    <w:rsid w:val="00B33B17"/>
    <w:pPr>
      <w:tabs>
        <w:tab w:val="center" w:pos="4320"/>
        <w:tab w:val="right" w:pos="8640"/>
      </w:tabs>
    </w:pPr>
  </w:style>
  <w:style w:type="paragraph" w:styleId="FootnoteText">
    <w:name w:val="footnote text"/>
    <w:basedOn w:val="Normal"/>
    <w:link w:val="FootnoteTextChar"/>
    <w:uiPriority w:val="99"/>
    <w:unhideWhenUsed/>
    <w:rsid w:val="00FB3606"/>
  </w:style>
  <w:style w:type="paragraph" w:customStyle="1" w:styleId="Text">
    <w:name w:val="Text"/>
    <w:basedOn w:val="Normal"/>
    <w:rsid w:val="0090326D"/>
  </w:style>
  <w:style w:type="paragraph" w:styleId="Title">
    <w:name w:val="Title"/>
    <w:basedOn w:val="Normal"/>
    <w:qFormat/>
    <w:rsid w:val="00764D80"/>
    <w:pPr>
      <w:spacing w:before="240" w:after="60"/>
      <w:jc w:val="center"/>
      <w:outlineLvl w:val="0"/>
    </w:pPr>
    <w:rPr>
      <w:rFonts w:ascii="Arial Black" w:hAnsi="Arial Black"/>
      <w:b/>
      <w:kern w:val="28"/>
      <w:sz w:val="28"/>
      <w:szCs w:val="32"/>
    </w:rPr>
  </w:style>
  <w:style w:type="paragraph" w:customStyle="1" w:styleId="Quotation">
    <w:name w:val="Quotation"/>
    <w:basedOn w:val="Normal"/>
    <w:rsid w:val="00E6735B"/>
    <w:pPr>
      <w:ind w:left="360" w:right="360"/>
    </w:pPr>
    <w:rPr>
      <w:rFonts w:ascii="Trebuchet MS" w:hAnsi="Trebuchet MS"/>
      <w:sz w:val="20"/>
    </w:rPr>
  </w:style>
  <w:style w:type="character" w:customStyle="1" w:styleId="FootnoteTextChar">
    <w:name w:val="Footnote Text Char"/>
    <w:link w:val="FootnoteText"/>
    <w:uiPriority w:val="99"/>
    <w:rsid w:val="00FB3606"/>
    <w:rPr>
      <w:sz w:val="24"/>
      <w:szCs w:val="24"/>
      <w:lang w:val="en-GB"/>
    </w:rPr>
  </w:style>
  <w:style w:type="character" w:styleId="FootnoteReference">
    <w:name w:val="footnote reference"/>
    <w:uiPriority w:val="99"/>
    <w:unhideWhenUsed/>
    <w:rsid w:val="00FB360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Applications:Microsoft%20Office%202004:Templates:My%20Templates:ALP%20handout%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Macintosh HD:Applications:Microsoft Office 2004:Templates:My Templates:ALP handout template.dot</Template>
  <TotalTime>1</TotalTime>
  <Pages>3</Pages>
  <Words>1114</Words>
  <Characters>6354</Characters>
  <Application>Microsoft Macintosh Word</Application>
  <DocSecurity>0</DocSecurity>
  <Lines>52</Lines>
  <Paragraphs>14</Paragraphs>
  <ScaleCrop>false</ScaleCrop>
  <HeadingPairs>
    <vt:vector size="4" baseType="variant">
      <vt:variant>
        <vt:lpstr>Title</vt:lpstr>
      </vt:variant>
      <vt:variant>
        <vt:i4>1</vt:i4>
      </vt:variant>
      <vt:variant>
        <vt:lpstr>Headings</vt:lpstr>
      </vt:variant>
      <vt:variant>
        <vt:i4>4</vt:i4>
      </vt:variant>
    </vt:vector>
  </HeadingPairs>
  <TitlesOfParts>
    <vt:vector size="5" baseType="lpstr">
      <vt:lpstr>A priori intuition and demonstration</vt:lpstr>
      <vt:lpstr>Conceptual schemes: an introduction </vt:lpstr>
      <vt:lpstr>Conceptual schemes</vt:lpstr>
      <vt:lpstr>An implication: Conceptual relativism</vt:lpstr>
      <vt:lpstr>An objection</vt:lpstr>
    </vt:vector>
  </TitlesOfParts>
  <LinksUpToDate>false</LinksUpToDate>
  <CharactersWithSpaces>7454</CharactersWithSpaces>
  <SharedDoc>false</SharedDoc>
  <HLinks>
    <vt:vector size="12" baseType="variant">
      <vt:variant>
        <vt:i4>3145792</vt:i4>
      </vt:variant>
      <vt:variant>
        <vt:i4>9006</vt:i4>
      </vt:variant>
      <vt:variant>
        <vt:i4>1025</vt:i4>
      </vt:variant>
      <vt:variant>
        <vt:i4>1</vt:i4>
      </vt:variant>
      <vt:variant>
        <vt:lpwstr>ROUT_Logo_Black</vt:lpwstr>
      </vt:variant>
      <vt:variant>
        <vt:lpwstr/>
      </vt:variant>
      <vt:variant>
        <vt:i4>720908</vt:i4>
      </vt:variant>
      <vt:variant>
        <vt:i4>9064</vt:i4>
      </vt:variant>
      <vt:variant>
        <vt:i4>1026</vt:i4>
      </vt:variant>
      <vt:variant>
        <vt:i4>1</vt:i4>
      </vt:variant>
      <vt:variant>
        <vt:lpwstr>frankrgb</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priori intuition and demonstration</dc:title>
  <dc:subject/>
  <dc:creator>Michael Lacewing</dc:creator>
  <cp:keywords/>
  <cp:lastModifiedBy>Michael Lacewing</cp:lastModifiedBy>
  <cp:revision>2</cp:revision>
  <cp:lastPrinted>1904-01-01T00:00:00Z</cp:lastPrinted>
  <dcterms:created xsi:type="dcterms:W3CDTF">2018-01-02T12:22:00Z</dcterms:created>
  <dcterms:modified xsi:type="dcterms:W3CDTF">2018-01-02T12:22:00Z</dcterms:modified>
</cp:coreProperties>
</file>