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200C" w:rsidRPr="00925CAA" w:rsidRDefault="00FC200C">
      <w:pPr>
        <w:pStyle w:val="Heading1"/>
        <w:jc w:val="center"/>
        <w:rPr>
          <w:rFonts w:ascii="Trebuchet MS" w:hAnsi="Trebuchet MS"/>
          <w:b/>
          <w:sz w:val="28"/>
          <w:szCs w:val="28"/>
          <w:u w:val="none"/>
        </w:rPr>
      </w:pPr>
      <w:bookmarkStart w:id="0" w:name="_GoBack"/>
      <w:bookmarkEnd w:id="0"/>
      <w:r w:rsidRPr="00925CAA">
        <w:rPr>
          <w:rFonts w:ascii="Trebuchet MS" w:hAnsi="Trebuchet MS"/>
          <w:b/>
          <w:sz w:val="28"/>
          <w:szCs w:val="28"/>
          <w:u w:val="none"/>
        </w:rPr>
        <w:t xml:space="preserve">Aristotle and Descartes on </w:t>
      </w:r>
      <w:r w:rsidR="00925CAA">
        <w:rPr>
          <w:rFonts w:ascii="Trebuchet MS" w:hAnsi="Trebuchet MS"/>
          <w:b/>
          <w:sz w:val="28"/>
          <w:szCs w:val="28"/>
          <w:u w:val="none"/>
        </w:rPr>
        <w:t>the</w:t>
      </w:r>
      <w:r w:rsidRPr="00925CAA">
        <w:rPr>
          <w:rFonts w:ascii="Trebuchet MS" w:hAnsi="Trebuchet MS"/>
          <w:b/>
          <w:sz w:val="28"/>
          <w:szCs w:val="28"/>
          <w:u w:val="none"/>
        </w:rPr>
        <w:t xml:space="preserve"> notion of a person</w:t>
      </w:r>
    </w:p>
    <w:p w:rsidR="00FC200C" w:rsidRDefault="00FC200C">
      <w:pPr>
        <w:rPr>
          <w:rFonts w:ascii="Trebuchet MS" w:hAnsi="Trebuchet MS"/>
        </w:rPr>
      </w:pPr>
    </w:p>
    <w:p w:rsidR="00925CAA" w:rsidRPr="00925CAA" w:rsidRDefault="00925CAA">
      <w:pPr>
        <w:rPr>
          <w:rFonts w:ascii="Trebuchet MS" w:hAnsi="Trebuchet MS"/>
        </w:rPr>
      </w:pPr>
    </w:p>
    <w:p w:rsidR="00FC200C" w:rsidRPr="00925CAA" w:rsidRDefault="00FC200C">
      <w:pPr>
        <w:rPr>
          <w:rFonts w:ascii="Trebuchet MS" w:hAnsi="Trebuchet MS"/>
          <w:b/>
          <w:bCs/>
          <w:caps/>
        </w:rPr>
      </w:pPr>
      <w:r w:rsidRPr="00925CAA">
        <w:rPr>
          <w:rFonts w:ascii="Trebuchet MS" w:hAnsi="Trebuchet MS"/>
          <w:b/>
          <w:bCs/>
          <w:caps/>
        </w:rPr>
        <w:t>Aristotle: persons are ‘ensouled’ bodies</w:t>
      </w:r>
    </w:p>
    <w:p w:rsidR="00FC200C" w:rsidRPr="00925CAA" w:rsidRDefault="00FC200C" w:rsidP="00FC200C">
      <w:pPr>
        <w:rPr>
          <w:rFonts w:ascii="Trebuchet MS" w:hAnsi="Trebuchet MS"/>
        </w:rPr>
      </w:pPr>
      <w:r w:rsidRPr="00925CAA">
        <w:rPr>
          <w:rFonts w:ascii="Trebuchet MS" w:hAnsi="Trebuchet MS"/>
        </w:rPr>
        <w:t xml:space="preserve">In Aristotle’s philosophy generally, every living thing has a soul. It is the ‘form’ of the living thing. Unlike Plato, Aristotle did not think that forms are separable from that which they are forms of. So the soul is not something separable from the living thing: “if the eye was an animal, then sight would be its soul...the eye is the matter of sight... just as pupil and sight </w:t>
      </w:r>
      <w:r w:rsidRPr="00925CAA">
        <w:rPr>
          <w:rFonts w:ascii="Trebuchet MS" w:hAnsi="Trebuchet MS"/>
          <w:i/>
        </w:rPr>
        <w:t>are</w:t>
      </w:r>
      <w:r w:rsidRPr="00925CAA">
        <w:rPr>
          <w:rFonts w:ascii="Trebuchet MS" w:hAnsi="Trebuchet MS"/>
        </w:rPr>
        <w:t xml:space="preserve"> the eye, so, in our case, soul and body </w:t>
      </w:r>
      <w:r w:rsidRPr="00925CAA">
        <w:rPr>
          <w:rFonts w:ascii="Trebuchet MS" w:hAnsi="Trebuchet MS"/>
          <w:i/>
        </w:rPr>
        <w:t>are</w:t>
      </w:r>
      <w:r w:rsidRPr="00925CAA">
        <w:rPr>
          <w:rFonts w:ascii="Trebuchet MS" w:hAnsi="Trebuchet MS"/>
        </w:rPr>
        <w:t xml:space="preserve"> the animal.” (</w:t>
      </w:r>
      <w:r w:rsidRPr="00925CAA">
        <w:rPr>
          <w:rFonts w:ascii="Trebuchet MS" w:hAnsi="Trebuchet MS"/>
          <w:i/>
          <w:iCs/>
        </w:rPr>
        <w:t>De Anima</w:t>
      </w:r>
      <w:r w:rsidRPr="00925CAA">
        <w:rPr>
          <w:rFonts w:ascii="Trebuchet MS" w:hAnsi="Trebuchet MS"/>
        </w:rPr>
        <w:t>, 412b-413a), or, in the case of a human animal, the person.</w:t>
      </w:r>
    </w:p>
    <w:p w:rsidR="00FC200C" w:rsidRPr="00925CAA" w:rsidRDefault="00FC200C">
      <w:pPr>
        <w:rPr>
          <w:rFonts w:ascii="Trebuchet MS" w:hAnsi="Trebuchet MS"/>
        </w:rPr>
      </w:pPr>
    </w:p>
    <w:p w:rsidR="00925CAA" w:rsidRDefault="00FC200C">
      <w:pPr>
        <w:rPr>
          <w:rFonts w:ascii="Trebuchet MS" w:hAnsi="Trebuchet MS"/>
        </w:rPr>
      </w:pPr>
      <w:r w:rsidRPr="00925CAA">
        <w:rPr>
          <w:rFonts w:ascii="Trebuchet MS" w:hAnsi="Trebuchet MS"/>
        </w:rPr>
        <w:t>To understand the relationship between soul and body we first need to understand Aristotle’s analysis of ‘causes’ (</w:t>
      </w:r>
      <w:r w:rsidRPr="00925CAA">
        <w:rPr>
          <w:rStyle w:val="Emphasis"/>
          <w:rFonts w:ascii="Trebuchet MS" w:hAnsi="Trebuchet MS"/>
        </w:rPr>
        <w:t>Physics</w:t>
      </w:r>
      <w:r w:rsidRPr="00925CAA">
        <w:rPr>
          <w:rFonts w:ascii="Trebuchet MS" w:hAnsi="Trebuchet MS"/>
        </w:rPr>
        <w:t xml:space="preserve"> 194b). We can understand this in terms of types of explanation. </w:t>
      </w:r>
    </w:p>
    <w:p w:rsidR="00925CAA" w:rsidRDefault="00925CAA">
      <w:pPr>
        <w:rPr>
          <w:rFonts w:ascii="Trebuchet MS" w:hAnsi="Trebuchet MS"/>
        </w:rPr>
      </w:pPr>
    </w:p>
    <w:p w:rsidR="00925CAA" w:rsidRDefault="00FC200C" w:rsidP="00925CAA">
      <w:pPr>
        <w:numPr>
          <w:ilvl w:val="0"/>
          <w:numId w:val="1"/>
        </w:numPr>
        <w:rPr>
          <w:rFonts w:ascii="Trebuchet MS" w:hAnsi="Trebuchet MS"/>
        </w:rPr>
      </w:pPr>
      <w:r w:rsidRPr="00925CAA">
        <w:rPr>
          <w:rFonts w:ascii="Trebuchet MS" w:hAnsi="Trebuchet MS"/>
        </w:rPr>
        <w:t xml:space="preserve">The </w:t>
      </w:r>
      <w:r w:rsidRPr="00925CAA">
        <w:rPr>
          <w:rFonts w:ascii="Trebuchet MS" w:hAnsi="Trebuchet MS"/>
          <w:i/>
        </w:rPr>
        <w:t>material</w:t>
      </w:r>
      <w:r w:rsidRPr="00925CAA">
        <w:rPr>
          <w:rFonts w:ascii="Trebuchet MS" w:hAnsi="Trebuchet MS"/>
        </w:rPr>
        <w:t xml:space="preserve"> cause of something is “that out of which a thing comes to be, and which persists; e.g., bronze, silver, and the genus of these are causes of a statue or a bowl”. </w:t>
      </w:r>
    </w:p>
    <w:p w:rsidR="00925CAA" w:rsidRDefault="00FC200C" w:rsidP="00925CAA">
      <w:pPr>
        <w:numPr>
          <w:ilvl w:val="0"/>
          <w:numId w:val="1"/>
        </w:numPr>
        <w:rPr>
          <w:rFonts w:ascii="Trebuchet MS" w:hAnsi="Trebuchet MS"/>
        </w:rPr>
      </w:pPr>
      <w:r w:rsidRPr="00925CAA">
        <w:rPr>
          <w:rFonts w:ascii="Trebuchet MS" w:hAnsi="Trebuchet MS"/>
        </w:rPr>
        <w:t xml:space="preserve">The </w:t>
      </w:r>
      <w:r w:rsidRPr="00925CAA">
        <w:rPr>
          <w:rFonts w:ascii="Trebuchet MS" w:hAnsi="Trebuchet MS"/>
          <w:i/>
        </w:rPr>
        <w:t>efficient</w:t>
      </w:r>
      <w:r w:rsidRPr="00925CAA">
        <w:rPr>
          <w:rFonts w:ascii="Trebuchet MS" w:hAnsi="Trebuchet MS"/>
        </w:rPr>
        <w:t xml:space="preserve"> cause of something is that which brings it about in its present form; it is “the primary source of change or rest”. </w:t>
      </w:r>
    </w:p>
    <w:p w:rsidR="00925CAA" w:rsidRDefault="00FC200C" w:rsidP="00925CAA">
      <w:pPr>
        <w:numPr>
          <w:ilvl w:val="0"/>
          <w:numId w:val="1"/>
        </w:numPr>
        <w:rPr>
          <w:rFonts w:ascii="Trebuchet MS" w:hAnsi="Trebuchet MS"/>
        </w:rPr>
      </w:pPr>
      <w:r w:rsidRPr="00925CAA">
        <w:rPr>
          <w:rFonts w:ascii="Trebuchet MS" w:hAnsi="Trebuchet MS"/>
        </w:rPr>
        <w:t xml:space="preserve">A </w:t>
      </w:r>
      <w:r w:rsidRPr="00925CAA">
        <w:rPr>
          <w:rFonts w:ascii="Trebuchet MS" w:hAnsi="Trebuchet MS"/>
          <w:i/>
        </w:rPr>
        <w:t>final</w:t>
      </w:r>
      <w:r w:rsidRPr="00925CAA">
        <w:rPr>
          <w:rFonts w:ascii="Trebuchet MS" w:hAnsi="Trebuchet MS"/>
        </w:rPr>
        <w:t xml:space="preserve"> cause is “the end (</w:t>
      </w:r>
      <w:r w:rsidRPr="00925CAA">
        <w:rPr>
          <w:rStyle w:val="Emphasis"/>
          <w:rFonts w:ascii="Trebuchet MS" w:hAnsi="Trebuchet MS"/>
        </w:rPr>
        <w:t>telos</w:t>
      </w:r>
      <w:r w:rsidRPr="00925CAA">
        <w:rPr>
          <w:rFonts w:ascii="Trebuchet MS" w:hAnsi="Trebuchet MS"/>
        </w:rPr>
        <w:t xml:space="preserve">), that for which a thing is done”; much of our explanation of behaviour is in terms of final causes (why? for what reason?). </w:t>
      </w:r>
    </w:p>
    <w:p w:rsidR="00FC200C" w:rsidRPr="00925CAA" w:rsidRDefault="00FC200C" w:rsidP="00925CAA">
      <w:pPr>
        <w:numPr>
          <w:ilvl w:val="0"/>
          <w:numId w:val="1"/>
        </w:numPr>
        <w:rPr>
          <w:rFonts w:ascii="Trebuchet MS" w:hAnsi="Trebuchet MS"/>
        </w:rPr>
      </w:pPr>
      <w:r w:rsidRPr="00925CAA">
        <w:rPr>
          <w:rFonts w:ascii="Trebuchet MS" w:hAnsi="Trebuchet MS"/>
        </w:rPr>
        <w:t xml:space="preserve">Finally, a </w:t>
      </w:r>
      <w:r w:rsidRPr="00925CAA">
        <w:rPr>
          <w:rFonts w:ascii="Trebuchet MS" w:hAnsi="Trebuchet MS"/>
          <w:i/>
        </w:rPr>
        <w:t>formal</w:t>
      </w:r>
      <w:r w:rsidRPr="00925CAA">
        <w:rPr>
          <w:rFonts w:ascii="Trebuchet MS" w:hAnsi="Trebuchet MS"/>
        </w:rPr>
        <w:t xml:space="preserve"> cause provides us with “the account of the essence” of something, an account of why something is in terms of what it is. So we might reply to the question why a heart pumps blood in terms of what it is to be a heart. Now this account itself is likely to refer to the function of a heart – and so the formal and final cause coincide. Furthermore, we might explain the heart actually pumping blood – changing, moving – in these terms – so formal, final and efficient causes coincide. </w:t>
      </w:r>
    </w:p>
    <w:p w:rsidR="00FC200C" w:rsidRPr="00925CAA" w:rsidRDefault="00FC200C">
      <w:pPr>
        <w:rPr>
          <w:rFonts w:ascii="Trebuchet MS" w:hAnsi="Trebuchet MS"/>
        </w:rPr>
      </w:pPr>
    </w:p>
    <w:p w:rsidR="00FC200C" w:rsidRPr="00925CAA" w:rsidRDefault="00FC200C">
      <w:pPr>
        <w:rPr>
          <w:rFonts w:ascii="Trebuchet MS" w:hAnsi="Trebuchet MS"/>
        </w:rPr>
      </w:pPr>
      <w:r w:rsidRPr="00925CAA">
        <w:rPr>
          <w:rFonts w:ascii="Trebuchet MS" w:hAnsi="Trebuchet MS"/>
        </w:rPr>
        <w:t>Aristotle says that “living is the being [the essence] of living things, and the soul is the cause and principle of this.” (</w:t>
      </w:r>
      <w:r w:rsidR="00925CAA" w:rsidRPr="00925CAA">
        <w:rPr>
          <w:rFonts w:ascii="Trebuchet MS" w:hAnsi="Trebuchet MS"/>
          <w:i/>
          <w:iCs/>
        </w:rPr>
        <w:t>De Anima</w:t>
      </w:r>
      <w:r w:rsidR="00925CAA" w:rsidRPr="00925CAA">
        <w:rPr>
          <w:rFonts w:ascii="Trebuchet MS" w:hAnsi="Trebuchet MS"/>
        </w:rPr>
        <w:t xml:space="preserve">, </w:t>
      </w:r>
      <w:r w:rsidRPr="00925CAA">
        <w:rPr>
          <w:rFonts w:ascii="Trebuchet MS" w:hAnsi="Trebuchet MS"/>
        </w:rPr>
        <w:t xml:space="preserve">415b). What it is to be a living being is to live; and the soul is the formal, efficient and final cause of a living thing (415b10). It is the final cause because living things live in order to live; parts of our bodies do what they do, and we do what we do as a whole, in order to continue living (well). It is the efficient cause because this activity of living brings about changes and developments within and to our bodies, so they have the structure they do, and </w:t>
      </w:r>
      <w:r w:rsidR="00925CAA">
        <w:rPr>
          <w:rFonts w:ascii="Trebuchet MS" w:hAnsi="Trebuchet MS"/>
        </w:rPr>
        <w:t xml:space="preserve">living changes </w:t>
      </w:r>
      <w:r w:rsidRPr="00925CAA">
        <w:rPr>
          <w:rFonts w:ascii="Trebuchet MS" w:hAnsi="Trebuchet MS"/>
        </w:rPr>
        <w:t>us as persons, so that we have the lives we do. And it is the formal cause, because this activity of living provides an account of what it is to be what we are, a particular kind of living being. We might say that matter, under certain arrangements, can be a body, and a body by definition is something that can, under certain conditions, be alive. The very idea of a body (as distinct from a physical object), then, depends on the idea of living. And it is this account – of what it is to live – that the soul provides. The soul exists as the organizing principle of the body.</w:t>
      </w:r>
    </w:p>
    <w:p w:rsidR="00FC200C" w:rsidRPr="00925CAA" w:rsidRDefault="00FC200C">
      <w:pPr>
        <w:rPr>
          <w:rFonts w:ascii="Trebuchet MS" w:hAnsi="Trebuchet MS"/>
        </w:rPr>
      </w:pPr>
    </w:p>
    <w:p w:rsidR="00FC200C" w:rsidRDefault="00FC200C">
      <w:pPr>
        <w:rPr>
          <w:rFonts w:ascii="Trebuchet MS" w:hAnsi="Trebuchet MS"/>
        </w:rPr>
      </w:pPr>
      <w:r w:rsidRPr="00925CAA">
        <w:rPr>
          <w:rFonts w:ascii="Trebuchet MS" w:hAnsi="Trebuchet MS"/>
        </w:rPr>
        <w:t xml:space="preserve">It is very difficult for us, with our materialist philosophy, to really understand what Aristotle means. But here is an attempt. Matter looks like the most enduring substance – it exists through birth and death. And yet matter per se is not a </w:t>
      </w:r>
      <w:r w:rsidRPr="00925CAA">
        <w:rPr>
          <w:rFonts w:ascii="Trebuchet MS" w:hAnsi="Trebuchet MS"/>
        </w:rPr>
        <w:lastRenderedPageBreak/>
        <w:t>definite, structured item that can be picked out; we always pick out some matter by the form it has at the time. And so matter isn’t in fact a good linchpin for explanations of change and activity. This is particularly the case with living things, as that which remains constant is not matter, but the living thing. Trees and people remain constant as their matter changes; living things are forms embodied in ever-changing matter. Even to refer to the living thing is to privilege form over matter; and so explanations of living things must equally identify form over matter. Of course, change only happens to those things which are material, and thus matter must be mentioned, and it must be matter which is suitable for the change being described. But our understanding of the types of changes living things undergo, and the reasons for these changes, must be primarily in terms of form.</w:t>
      </w:r>
    </w:p>
    <w:p w:rsidR="00925CAA" w:rsidRPr="00925CAA" w:rsidRDefault="00925CAA">
      <w:pPr>
        <w:rPr>
          <w:rFonts w:ascii="Trebuchet MS" w:hAnsi="Trebuchet MS"/>
        </w:rPr>
      </w:pPr>
    </w:p>
    <w:p w:rsidR="00FC200C" w:rsidRPr="00925CAA" w:rsidRDefault="00FC200C">
      <w:pPr>
        <w:rPr>
          <w:rFonts w:ascii="Trebuchet MS" w:hAnsi="Trebuchet MS"/>
        </w:rPr>
      </w:pPr>
      <w:r w:rsidRPr="00925CAA">
        <w:rPr>
          <w:rFonts w:ascii="Trebuchet MS" w:hAnsi="Trebuchet MS"/>
        </w:rPr>
        <w:t xml:space="preserve">So far, the soul may seem to be closely identified with biological functions. But this is only true in the broadest sense. Aristotle is interested in the </w:t>
      </w:r>
      <w:r w:rsidRPr="00925CAA">
        <w:rPr>
          <w:rFonts w:ascii="Trebuchet MS" w:hAnsi="Trebuchet MS"/>
          <w:i/>
        </w:rPr>
        <w:t>types of lives</w:t>
      </w:r>
      <w:r w:rsidRPr="00925CAA">
        <w:rPr>
          <w:rFonts w:ascii="Trebuchet MS" w:hAnsi="Trebuchet MS"/>
        </w:rPr>
        <w:t xml:space="preserve"> organisms are capable of. Plants are capable of growth and reproduction, animals are also capable of sensation, human beings are further capable of rational activity. And it is a life of rational activity – doing everything we do in accordance with reasons – that Aristotle argues is the distinctive life of a human being, a person (</w:t>
      </w:r>
      <w:r w:rsidRPr="00925CAA">
        <w:rPr>
          <w:rFonts w:ascii="Trebuchet MS" w:hAnsi="Trebuchet MS"/>
          <w:i/>
        </w:rPr>
        <w:t>Nicomachean Ethics</w:t>
      </w:r>
      <w:r w:rsidRPr="00925CAA">
        <w:rPr>
          <w:rFonts w:ascii="Trebuchet MS" w:hAnsi="Trebuchet MS"/>
        </w:rPr>
        <w:t>, Book I). We must therefore have a corresponding, distinctive type of soul. And on this question, Aristotle bre</w:t>
      </w:r>
      <w:r w:rsidR="00925CAA">
        <w:rPr>
          <w:rFonts w:ascii="Trebuchet MS" w:hAnsi="Trebuchet MS"/>
        </w:rPr>
        <w:t>aks away from aligning the soul</w:t>
      </w:r>
      <w:r w:rsidRPr="00925CAA">
        <w:rPr>
          <w:rFonts w:ascii="Trebuchet MS" w:hAnsi="Trebuchet MS"/>
        </w:rPr>
        <w:t xml:space="preserve"> </w:t>
      </w:r>
      <w:r w:rsidR="00925CAA">
        <w:rPr>
          <w:rFonts w:ascii="Trebuchet MS" w:hAnsi="Trebuchet MS"/>
        </w:rPr>
        <w:t>(</w:t>
      </w:r>
      <w:r w:rsidRPr="00925CAA">
        <w:rPr>
          <w:rFonts w:ascii="Trebuchet MS" w:hAnsi="Trebuchet MS"/>
        </w:rPr>
        <w:t>or p</w:t>
      </w:r>
      <w:r w:rsidR="00925CAA">
        <w:rPr>
          <w:rFonts w:ascii="Trebuchet MS" w:hAnsi="Trebuchet MS"/>
        </w:rPr>
        <w:t>art of the soul – the intellect)</w:t>
      </w:r>
      <w:r w:rsidRPr="00925CAA">
        <w:rPr>
          <w:rFonts w:ascii="Trebuchet MS" w:hAnsi="Trebuchet MS"/>
        </w:rPr>
        <w:t xml:space="preserve"> with something material.  One aspect of living for people is thinking. Aristotle believed that thinking, in particular thinking about ideas, rather than sensory experiences, had no specific organ, like seeing has the eye, hearing the ear. It wasn’t simply that Aristotle didn’t know about the role of the brain in thinking. He argued that the intellect must be immaterial, because otherwise it couldn’t receive, experience, think about all the forms. An eye can only see, an ear can only hear. If there was some material organ of the intellect, it would equally be limited to thinking about certain physical objects and properties, not others. But it isn’t. So he said the intellect “seems to be another kind of soul, and this alone admits of being separated, as that which is eternal from that which is perishable” (</w:t>
      </w:r>
      <w:r w:rsidRPr="00925CAA">
        <w:rPr>
          <w:rFonts w:ascii="Trebuchet MS" w:hAnsi="Trebuchet MS"/>
          <w:i/>
        </w:rPr>
        <w:t>De Anima</w:t>
      </w:r>
      <w:r w:rsidRPr="00925CAA">
        <w:rPr>
          <w:rFonts w:ascii="Trebuchet MS" w:hAnsi="Trebuchet MS"/>
        </w:rPr>
        <w:t xml:space="preserve"> 428b).</w:t>
      </w:r>
    </w:p>
    <w:p w:rsidR="00FC200C" w:rsidRPr="00925CAA" w:rsidRDefault="00FC200C">
      <w:pPr>
        <w:rPr>
          <w:rFonts w:ascii="Trebuchet MS" w:hAnsi="Trebuchet MS"/>
        </w:rPr>
      </w:pPr>
    </w:p>
    <w:p w:rsidR="00FC200C" w:rsidRPr="00925CAA" w:rsidRDefault="00FC200C">
      <w:pPr>
        <w:rPr>
          <w:rFonts w:ascii="Trebuchet MS" w:hAnsi="Trebuchet MS"/>
        </w:rPr>
      </w:pPr>
      <w:r w:rsidRPr="00925CAA">
        <w:rPr>
          <w:rFonts w:ascii="Trebuchet MS" w:hAnsi="Trebuchet MS"/>
        </w:rPr>
        <w:t>This doesn’t make the intellect the essence of being a person; to be a person is to be an animal with a human body and human soul. However, because it is distinctive, it does mark a person out from any other kind of living thing.</w:t>
      </w:r>
    </w:p>
    <w:p w:rsidR="00FC200C" w:rsidRPr="00925CAA" w:rsidRDefault="00FC200C">
      <w:pPr>
        <w:rPr>
          <w:rFonts w:ascii="Trebuchet MS" w:hAnsi="Trebuchet MS"/>
        </w:rPr>
      </w:pPr>
    </w:p>
    <w:p w:rsidR="00FC200C" w:rsidRPr="00925CAA" w:rsidRDefault="00FC200C">
      <w:pPr>
        <w:rPr>
          <w:rFonts w:ascii="Trebuchet MS" w:hAnsi="Trebuchet MS"/>
          <w:b/>
        </w:rPr>
      </w:pPr>
      <w:r w:rsidRPr="00925CAA">
        <w:rPr>
          <w:rFonts w:ascii="Trebuchet MS" w:hAnsi="Trebuchet MS"/>
          <w:b/>
        </w:rPr>
        <w:t>Descartes: two notions of ‘person’</w:t>
      </w:r>
    </w:p>
    <w:p w:rsidR="00FC200C" w:rsidRPr="00925CAA" w:rsidRDefault="00FC200C">
      <w:pPr>
        <w:rPr>
          <w:rFonts w:ascii="Trebuchet MS" w:hAnsi="Trebuchet MS"/>
        </w:rPr>
      </w:pPr>
      <w:r w:rsidRPr="00925CAA">
        <w:rPr>
          <w:rFonts w:ascii="Trebuchet MS" w:hAnsi="Trebuchet MS"/>
        </w:rPr>
        <w:t xml:space="preserve">St Aquinas developed Aristotle’s ideas, and claimed that the soul, the intellect, and the form were </w:t>
      </w:r>
      <w:r w:rsidR="00925CAA">
        <w:rPr>
          <w:rFonts w:ascii="Trebuchet MS" w:hAnsi="Trebuchet MS"/>
        </w:rPr>
        <w:t xml:space="preserve">one and </w:t>
      </w:r>
      <w:r w:rsidRPr="00925CAA">
        <w:rPr>
          <w:rFonts w:ascii="Trebuchet MS" w:hAnsi="Trebuchet MS"/>
        </w:rPr>
        <w:t xml:space="preserve">the same thing, and </w:t>
      </w:r>
      <w:r w:rsidR="00925CAA">
        <w:rPr>
          <w:rFonts w:ascii="Trebuchet MS" w:hAnsi="Trebuchet MS"/>
        </w:rPr>
        <w:t>that this is</w:t>
      </w:r>
      <w:r w:rsidRPr="00925CAA">
        <w:rPr>
          <w:rFonts w:ascii="Trebuchet MS" w:hAnsi="Trebuchet MS"/>
        </w:rPr>
        <w:t xml:space="preserve"> a separate </w:t>
      </w:r>
      <w:r w:rsidRPr="00925CAA">
        <w:rPr>
          <w:rFonts w:ascii="Trebuchet MS" w:hAnsi="Trebuchet MS"/>
          <w:i/>
        </w:rPr>
        <w:t>substance</w:t>
      </w:r>
      <w:r w:rsidRPr="00925CAA">
        <w:rPr>
          <w:rFonts w:ascii="Trebuchet MS" w:hAnsi="Trebuchet MS"/>
        </w:rPr>
        <w:t xml:space="preserve"> from the body – the soul can exist without the body. However, he agreed with Aristotle that a person is body and soul together, but he would have said a person is an embodied soul, rather than an ensouled body. </w:t>
      </w:r>
    </w:p>
    <w:p w:rsidR="00FC200C" w:rsidRPr="00925CAA" w:rsidRDefault="00FC200C">
      <w:pPr>
        <w:rPr>
          <w:rFonts w:ascii="Trebuchet MS" w:hAnsi="Trebuchet MS"/>
        </w:rPr>
      </w:pPr>
    </w:p>
    <w:p w:rsidR="00FC200C" w:rsidRPr="00925CAA" w:rsidRDefault="00FC200C">
      <w:pPr>
        <w:rPr>
          <w:rFonts w:ascii="Trebuchet MS" w:hAnsi="Trebuchet MS"/>
        </w:rPr>
      </w:pPr>
      <w:r w:rsidRPr="00925CAA">
        <w:rPr>
          <w:rFonts w:ascii="Trebuchet MS" w:hAnsi="Trebuchet MS"/>
        </w:rPr>
        <w:t xml:space="preserve">Descartes followed Aquinas in arguing that the soul is a separate substance from the body and in identifying the soul with the intellect (the thing that thinks). The soul, then, isn’t the form of the body in Aristotle’s sense; it doesn’t have the connection with biology and living that Aristotle thought it did. Descartes thought matter could support life without a soul (animals don’t have souls, for example). But what is it to be a person, on Descartes’ account? It is difficult to find anywhere that Descartes says ‘a person is…’. He talked instead about souls and bodies, and </w:t>
      </w:r>
      <w:r w:rsidRPr="00925CAA">
        <w:rPr>
          <w:rFonts w:ascii="Trebuchet MS" w:hAnsi="Trebuchet MS"/>
        </w:rPr>
        <w:lastRenderedPageBreak/>
        <w:t xml:space="preserve">the relationship between them. Let us assume that, whatever persons are, you and I are persons. This gives Descartes two possibilities about what persons are. </w:t>
      </w:r>
    </w:p>
    <w:p w:rsidR="00FC200C" w:rsidRPr="00925CAA" w:rsidRDefault="00FC200C">
      <w:pPr>
        <w:rPr>
          <w:rFonts w:ascii="Trebuchet MS" w:hAnsi="Trebuchet MS"/>
        </w:rPr>
      </w:pPr>
    </w:p>
    <w:p w:rsidR="00FC200C" w:rsidRPr="00925CAA" w:rsidRDefault="00FC200C">
      <w:pPr>
        <w:rPr>
          <w:rFonts w:ascii="Trebuchet MS" w:hAnsi="Trebuchet MS"/>
          <w:i/>
        </w:rPr>
      </w:pPr>
      <w:r w:rsidRPr="00925CAA">
        <w:rPr>
          <w:rFonts w:ascii="Trebuchet MS" w:hAnsi="Trebuchet MS"/>
          <w:i/>
        </w:rPr>
        <w:t>The narrow interpretation: persons are souls</w:t>
      </w:r>
    </w:p>
    <w:p w:rsidR="00FC200C" w:rsidRPr="00925CAA" w:rsidRDefault="00FC200C">
      <w:pPr>
        <w:rPr>
          <w:rFonts w:ascii="Trebuchet MS" w:hAnsi="Trebuchet MS"/>
        </w:rPr>
      </w:pPr>
      <w:r w:rsidRPr="00925CAA">
        <w:rPr>
          <w:rFonts w:ascii="Trebuchet MS" w:hAnsi="Trebuchet MS"/>
        </w:rPr>
        <w:t xml:space="preserve">Descartes famously argued that we are, essentially, souls. The question ‘what am I?’ can be answered by considering the question of what it is for me to exist. Descartes seeks to identify his essence, those properties which, if he lost them, would mean he was no longer what he is. I cannot doubt that I exist, and equally I cannot doubt that I think. In fact, doubting is a kind of thinking, and if I </w:t>
      </w:r>
      <w:r w:rsidR="00925CAA">
        <w:rPr>
          <w:rFonts w:ascii="Trebuchet MS" w:hAnsi="Trebuchet MS"/>
        </w:rPr>
        <w:t>were</w:t>
      </w:r>
      <w:r w:rsidRPr="00925CAA">
        <w:rPr>
          <w:rFonts w:ascii="Trebuchet MS" w:hAnsi="Trebuchet MS"/>
        </w:rPr>
        <w:t xml:space="preserve"> to doubt that I existed, that would prove I do exist – as something that thinks! I can doubt whether I have a body, whether I have a brain. If I didn’t have a body, I wouldn’t necessarily cease to exist – perhaps I don’t have a body. But I know I still exist. So what I am is something that thinks, and minds can exist without depending on bodies. It is possible for me to exist without a body, he claimed; so having a body is not essential to what I am. If I am a person, then, persons are souls.</w:t>
      </w:r>
    </w:p>
    <w:p w:rsidR="00FC200C" w:rsidRPr="00925CAA" w:rsidRDefault="00FC200C">
      <w:pPr>
        <w:pStyle w:val="BodyTextIndent"/>
        <w:ind w:left="0" w:firstLine="0"/>
        <w:rPr>
          <w:rFonts w:ascii="Trebuchet MS" w:hAnsi="Trebuchet MS"/>
        </w:rPr>
      </w:pPr>
    </w:p>
    <w:p w:rsidR="00FC200C" w:rsidRPr="00925CAA" w:rsidRDefault="00FC200C">
      <w:pPr>
        <w:rPr>
          <w:rFonts w:ascii="Trebuchet MS" w:hAnsi="Trebuchet MS"/>
        </w:rPr>
      </w:pPr>
      <w:r w:rsidRPr="00925CAA">
        <w:rPr>
          <w:rFonts w:ascii="Trebuchet MS" w:hAnsi="Trebuchet MS"/>
        </w:rPr>
        <w:t xml:space="preserve">Most philosophers don’t think that Descartes’ argument works. Just because Descartes can imagine his mind existing without his body, this means that his mind </w:t>
      </w:r>
      <w:r w:rsidRPr="00925CAA">
        <w:rPr>
          <w:rFonts w:ascii="Trebuchet MS" w:hAnsi="Trebuchet MS"/>
          <w:i/>
          <w:iCs/>
        </w:rPr>
        <w:t>really can</w:t>
      </w:r>
      <w:r w:rsidRPr="00925CAA">
        <w:rPr>
          <w:rFonts w:ascii="Trebuchet MS" w:hAnsi="Trebuchet MS"/>
        </w:rPr>
        <w:t xml:space="preserve"> exist without his body. Perhaps, although he doesn’t know it, there is some metaphysical connection between his mind and body that would make this impossible. If materialism is correct, then I cannot exist as a mind without also existing as a body. Descartes has used imagination as a test of possibility. But the test is flawed.</w:t>
      </w:r>
    </w:p>
    <w:p w:rsidR="00FC200C" w:rsidRPr="00925CAA" w:rsidRDefault="00FC200C">
      <w:pPr>
        <w:rPr>
          <w:rFonts w:ascii="Trebuchet MS" w:hAnsi="Trebuchet MS"/>
        </w:rPr>
      </w:pPr>
    </w:p>
    <w:p w:rsidR="00FC200C" w:rsidRPr="00925CAA" w:rsidRDefault="00FC200C">
      <w:pPr>
        <w:rPr>
          <w:rFonts w:ascii="Trebuchet MS" w:hAnsi="Trebuchet MS"/>
        </w:rPr>
      </w:pPr>
      <w:r w:rsidRPr="00925CAA">
        <w:rPr>
          <w:rFonts w:ascii="Trebuchet MS" w:hAnsi="Trebuchet MS"/>
        </w:rPr>
        <w:t xml:space="preserve">But even if Descartes has shown that souls exist as separate substances, this doesn’t mean that I – the person – am the same as a soul. Locke argued that personal identity is comprised by psychological continuity, not by the continued existence of a mental substance. If all my thoughts, desires, beliefs, emotions, memories etc. were swapped with those of another thinking thing, ‘I’ would go with my thoughts etc. rather than remain the same thinking thing, but now with a completely different set of mental properties. In fact, Descartes thought that many of these mental states – emotions, sensory experiences and memories – were dependent upon having a body (see </w:t>
      </w:r>
      <w:r w:rsidRPr="00925CAA">
        <w:rPr>
          <w:rFonts w:ascii="Trebuchet MS" w:hAnsi="Trebuchet MS"/>
          <w:i/>
        </w:rPr>
        <w:t>Meditations</w:t>
      </w:r>
      <w:r w:rsidRPr="00925CAA">
        <w:rPr>
          <w:rFonts w:ascii="Trebuchet MS" w:hAnsi="Trebuchet MS"/>
        </w:rPr>
        <w:t xml:space="preserve"> VI; </w:t>
      </w:r>
      <w:r w:rsidRPr="00925CAA">
        <w:rPr>
          <w:rFonts w:ascii="Trebuchet MS" w:hAnsi="Trebuchet MS"/>
          <w:i/>
        </w:rPr>
        <w:t xml:space="preserve">The Principles of Philosophy </w:t>
      </w:r>
      <w:r w:rsidRPr="00925CAA">
        <w:rPr>
          <w:rFonts w:ascii="Trebuchet MS" w:hAnsi="Trebuchet MS"/>
        </w:rPr>
        <w:t xml:space="preserve">I.48; </w:t>
      </w:r>
      <w:r w:rsidRPr="00925CAA">
        <w:rPr>
          <w:rFonts w:ascii="Trebuchet MS" w:hAnsi="Trebuchet MS"/>
          <w:i/>
        </w:rPr>
        <w:t>The Passions of the Soul</w:t>
      </w:r>
      <w:r w:rsidRPr="00925CAA">
        <w:rPr>
          <w:rFonts w:ascii="Trebuchet MS" w:hAnsi="Trebuchet MS"/>
        </w:rPr>
        <w:t>). So if Locke is right that psychological continuity is the criterion for being the same person, being the same person depends upon having a body. So being a person does as well (if only indirectly).</w:t>
      </w:r>
    </w:p>
    <w:p w:rsidR="00FC200C" w:rsidRPr="00925CAA" w:rsidRDefault="00FC200C">
      <w:pPr>
        <w:rPr>
          <w:rFonts w:ascii="Trebuchet MS" w:hAnsi="Trebuchet MS"/>
        </w:rPr>
      </w:pPr>
    </w:p>
    <w:p w:rsidR="00FC200C" w:rsidRPr="00925CAA" w:rsidRDefault="00FC200C">
      <w:pPr>
        <w:rPr>
          <w:rFonts w:ascii="Trebuchet MS" w:hAnsi="Trebuchet MS"/>
          <w:i/>
        </w:rPr>
      </w:pPr>
      <w:r w:rsidRPr="00925CAA">
        <w:rPr>
          <w:rFonts w:ascii="Trebuchet MS" w:hAnsi="Trebuchet MS"/>
          <w:i/>
        </w:rPr>
        <w:t>The broad interpretation: persons are embodied souls</w:t>
      </w:r>
    </w:p>
    <w:p w:rsidR="00FC200C" w:rsidRPr="00925CAA" w:rsidRDefault="00FC200C">
      <w:pPr>
        <w:rPr>
          <w:rFonts w:ascii="Trebuchet MS" w:hAnsi="Trebuchet MS"/>
        </w:rPr>
      </w:pPr>
      <w:r w:rsidRPr="00925CAA">
        <w:rPr>
          <w:rFonts w:ascii="Trebuchet MS" w:hAnsi="Trebuchet MS"/>
        </w:rPr>
        <w:t xml:space="preserve">Descartes argued that being a soul is not the whole story, because our souls are connected to our bodies in a very complex and integrated way. Descartes is very aware that our experience of ourselves – mind and body – is not an experience of two things, but one: </w:t>
      </w:r>
    </w:p>
    <w:p w:rsidR="00FC200C" w:rsidRPr="00925CAA" w:rsidRDefault="00FC200C">
      <w:pPr>
        <w:rPr>
          <w:rFonts w:ascii="Trebuchet MS" w:hAnsi="Trebuchet MS"/>
        </w:rPr>
      </w:pPr>
    </w:p>
    <w:p w:rsidR="00FC200C" w:rsidRPr="00925CAA" w:rsidRDefault="00FC200C" w:rsidP="00FC200C">
      <w:pPr>
        <w:ind w:left="360"/>
        <w:rPr>
          <w:rFonts w:ascii="Trebuchet MS" w:hAnsi="Trebuchet MS"/>
        </w:rPr>
      </w:pPr>
      <w:r w:rsidRPr="00925CAA">
        <w:rPr>
          <w:rFonts w:ascii="Trebuchet MS" w:hAnsi="Trebuchet MS"/>
        </w:rPr>
        <w:t>I am not only lodged in my body as a pilot in a vessel, but…I am very closely united with it, and so to speak so intermingled with it that I seem to compose with it one whole. For if that were not the case, when my body is hurt, I, who am merely a thinking thing, should not feel pain, for I should perceive this wound by the understanding only… all these sensations of hunger, thirst, pain, etc. are produced by the union and apparent intermingling of mind and body. (</w:t>
      </w:r>
      <w:r w:rsidRPr="00925CAA">
        <w:rPr>
          <w:rFonts w:ascii="Trebuchet MS" w:hAnsi="Trebuchet MS"/>
          <w:i/>
        </w:rPr>
        <w:t>Meditations</w:t>
      </w:r>
      <w:r w:rsidRPr="00925CAA">
        <w:rPr>
          <w:rFonts w:ascii="Trebuchet MS" w:hAnsi="Trebuchet MS"/>
        </w:rPr>
        <w:t xml:space="preserve"> VI)</w:t>
      </w:r>
    </w:p>
    <w:p w:rsidR="00FC200C" w:rsidRPr="00925CAA" w:rsidRDefault="00FC200C">
      <w:pPr>
        <w:rPr>
          <w:rFonts w:ascii="Trebuchet MS" w:hAnsi="Trebuchet MS"/>
        </w:rPr>
      </w:pPr>
    </w:p>
    <w:p w:rsidR="00FC200C" w:rsidRPr="00925CAA" w:rsidRDefault="00FC200C">
      <w:pPr>
        <w:rPr>
          <w:rFonts w:ascii="Trebuchet MS" w:hAnsi="Trebuchet MS"/>
        </w:rPr>
      </w:pPr>
      <w:r w:rsidRPr="00925CAA">
        <w:rPr>
          <w:rFonts w:ascii="Trebuchet MS" w:hAnsi="Trebuchet MS"/>
        </w:rPr>
        <w:t xml:space="preserve">For now, at least, I am an </w:t>
      </w:r>
      <w:r w:rsidRPr="00925CAA">
        <w:rPr>
          <w:rFonts w:ascii="Trebuchet MS" w:hAnsi="Trebuchet MS"/>
          <w:i/>
        </w:rPr>
        <w:t>embodied</w:t>
      </w:r>
      <w:r w:rsidRPr="00925CAA">
        <w:rPr>
          <w:rFonts w:ascii="Trebuchet MS" w:hAnsi="Trebuchet MS"/>
        </w:rPr>
        <w:t xml:space="preserve"> soul, even if I could after death become a disembodied soul. Persons, then, can be understood by Descartes as embodied souls. And he says that human beings are essentially embodied souls, with a particular kind of body, that of a particular species of animal. I am a person in a similar sense that I am a human being: I am a person and a human being, but not essentially, because I could be the same thing without a body.</w:t>
      </w:r>
    </w:p>
    <w:p w:rsidR="00FC200C" w:rsidRPr="00925CAA" w:rsidRDefault="00FC200C">
      <w:pPr>
        <w:rPr>
          <w:rFonts w:ascii="Trebuchet MS" w:hAnsi="Trebuchet MS"/>
        </w:rPr>
      </w:pPr>
    </w:p>
    <w:p w:rsidR="00FC200C" w:rsidRPr="00925CAA" w:rsidRDefault="00FC200C">
      <w:pPr>
        <w:rPr>
          <w:rFonts w:ascii="Trebuchet MS" w:hAnsi="Trebuchet MS"/>
        </w:rPr>
      </w:pPr>
      <w:r w:rsidRPr="00925CAA">
        <w:rPr>
          <w:rFonts w:ascii="Trebuchet MS" w:hAnsi="Trebuchet MS"/>
        </w:rPr>
        <w:t xml:space="preserve">However, it takes reflection to realize this. From the point of intermingling (conception) onwards, the soul takes on the body’s experiences as its own, i.e. we refer our sensations, emotions, etc. to our </w:t>
      </w:r>
      <w:r w:rsidRPr="00925CAA">
        <w:rPr>
          <w:rFonts w:ascii="Trebuchet MS" w:hAnsi="Trebuchet MS"/>
          <w:i/>
        </w:rPr>
        <w:t>selves</w:t>
      </w:r>
      <w:r w:rsidRPr="00925CAA">
        <w:rPr>
          <w:rFonts w:ascii="Trebuchet MS" w:hAnsi="Trebuchet MS"/>
        </w:rPr>
        <w:t>. We ‘own’ these states just as much as we ‘own’ our thoughts. Our experience is as of one thing. And we can rightly call that one thing a person. So we experience ourselves as persons – embodied souls – not just souls.</w:t>
      </w:r>
    </w:p>
    <w:p w:rsidR="00FC200C" w:rsidRPr="00925CAA" w:rsidRDefault="00FC200C">
      <w:pPr>
        <w:rPr>
          <w:rFonts w:ascii="Trebuchet MS" w:hAnsi="Trebuchet MS"/>
        </w:rPr>
      </w:pPr>
    </w:p>
    <w:p w:rsidR="00FC200C" w:rsidRPr="00925CAA" w:rsidRDefault="00FC200C">
      <w:pPr>
        <w:rPr>
          <w:rFonts w:ascii="Trebuchet MS" w:hAnsi="Trebuchet MS"/>
        </w:rPr>
      </w:pPr>
      <w:r w:rsidRPr="00925CAA">
        <w:rPr>
          <w:rFonts w:ascii="Trebuchet MS" w:hAnsi="Trebuchet MS"/>
        </w:rPr>
        <w:t xml:space="preserve">Being an embodied soul is essentially different from being a soul. If we follow Locke’s argument that what I am essentially is a person, not a soul, but Descartes is right that I have a soul, then I am essentially an embodied soul. But there is another of saying that we are essentially embodied souls without relying on Locke. Descartes suggests in a private letter that the idea of the union between mind and body is a ‘third primitive notion’ – it is basic and unanalysable. It is not </w:t>
      </w:r>
      <w:r w:rsidRPr="00925CAA">
        <w:rPr>
          <w:rFonts w:ascii="Trebuchet MS" w:hAnsi="Trebuchet MS"/>
          <w:i/>
          <w:iCs/>
        </w:rPr>
        <w:t>essential</w:t>
      </w:r>
      <w:r w:rsidRPr="00925CAA">
        <w:rPr>
          <w:rFonts w:ascii="Trebuchet MS" w:hAnsi="Trebuchet MS"/>
        </w:rPr>
        <w:t xml:space="preserve"> to either mind or body, demonstrated by their distinctness; nor is it accidental, ‘since the body has all the dispositions necessary to receive the soul, and without which it is not strictly a human body, it could not come about without a miracle, that a soul should not be joined to it’ (letter to Regius, December 1641). The comment that, unless united to a soul, a body is not a </w:t>
      </w:r>
      <w:r w:rsidRPr="00925CAA">
        <w:rPr>
          <w:rFonts w:ascii="Trebuchet MS" w:hAnsi="Trebuchet MS"/>
          <w:i/>
          <w:iCs/>
        </w:rPr>
        <w:t>human body</w:t>
      </w:r>
      <w:r w:rsidRPr="00925CAA">
        <w:rPr>
          <w:rFonts w:ascii="Trebuchet MS" w:hAnsi="Trebuchet MS"/>
        </w:rPr>
        <w:t>, suggests (but not conclusively) that the ‘human body’, body and soul together, can be considered as a unity, a thing in its own right, a substance created from the union of body and soul. This interpretation begins to return us to Aristotle.</w:t>
      </w:r>
    </w:p>
    <w:sectPr w:rsidR="00FC200C" w:rsidRPr="00925CAA" w:rsidSect="00FC200C">
      <w:headerReference w:type="default" r:id="rId7"/>
      <w:pgSz w:w="11900" w:h="16840"/>
      <w:pgMar w:top="1296" w:right="1440" w:bottom="1296" w:left="1440" w:header="706" w:footer="706"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5F4C" w:rsidRDefault="00585F4C" w:rsidP="00925CAA">
      <w:r>
        <w:separator/>
      </w:r>
    </w:p>
  </w:endnote>
  <w:endnote w:type="continuationSeparator" w:id="0">
    <w:p w:rsidR="00585F4C" w:rsidRDefault="00585F4C" w:rsidP="00925C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0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5F4C" w:rsidRDefault="00585F4C" w:rsidP="00925CAA">
      <w:r>
        <w:separator/>
      </w:r>
    </w:p>
  </w:footnote>
  <w:footnote w:type="continuationSeparator" w:id="0">
    <w:p w:rsidR="00585F4C" w:rsidRDefault="00585F4C" w:rsidP="00925C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25CAA" w:rsidRPr="00925CAA" w:rsidRDefault="00925CAA" w:rsidP="00925CAA">
    <w:pPr>
      <w:pStyle w:val="Header"/>
      <w:jc w:val="right"/>
      <w:rPr>
        <w:rFonts w:ascii="Garamond" w:hAnsi="Garamond"/>
      </w:rPr>
    </w:pPr>
    <w:r w:rsidRPr="00925CAA">
      <w:rPr>
        <w:rFonts w:ascii="Garamond" w:hAnsi="Garamond"/>
      </w:rPr>
      <w:t>© Michael Lacewing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BA58A3"/>
    <w:multiLevelType w:val="hybridMultilevel"/>
    <w:tmpl w:val="7D56EBA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24897"/>
    <w:rsid w:val="00426580"/>
    <w:rsid w:val="00585F4C"/>
    <w:rsid w:val="00925CAA"/>
    <w:rsid w:val="00FC20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C5FFB8F5-ECCA-514E-8BFE-1AF7BD2BE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E3E3D"/>
    <w:rPr>
      <w:sz w:val="24"/>
      <w:szCs w:val="24"/>
    </w:rPr>
  </w:style>
  <w:style w:type="paragraph" w:styleId="Heading1">
    <w:name w:val="heading 1"/>
    <w:basedOn w:val="Normal"/>
    <w:next w:val="Normal"/>
    <w:qFormat/>
    <w:rsid w:val="008E3E3D"/>
    <w:pPr>
      <w:keepNext/>
      <w:outlineLvl w:val="0"/>
    </w:pPr>
    <w:rPr>
      <w:u w:val="single"/>
    </w:rPr>
  </w:style>
  <w:style w:type="paragraph" w:styleId="Heading6">
    <w:name w:val="heading 6"/>
    <w:basedOn w:val="Normal"/>
    <w:next w:val="Normal"/>
    <w:qFormat/>
    <w:rsid w:val="008E3E3D"/>
    <w:pPr>
      <w:keepNext/>
      <w:outlineLvl w:val="5"/>
    </w:pPr>
    <w:rPr>
      <w:rFonts w:ascii="Garamond" w:hAnsi="Garamond"/>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Emphasis">
    <w:name w:val="Emphasis"/>
    <w:qFormat/>
    <w:rsid w:val="008E3E3D"/>
    <w:rPr>
      <w:i/>
      <w:iCs/>
    </w:rPr>
  </w:style>
  <w:style w:type="paragraph" w:styleId="BodyTextIndent">
    <w:name w:val="Body Text Indent"/>
    <w:basedOn w:val="Normal"/>
    <w:rsid w:val="00121637"/>
    <w:pPr>
      <w:ind w:left="270" w:hanging="270"/>
    </w:pPr>
    <w:rPr>
      <w:rFonts w:ascii="Garamond" w:hAnsi="Garamond"/>
    </w:rPr>
  </w:style>
  <w:style w:type="paragraph" w:styleId="Header">
    <w:name w:val="header"/>
    <w:basedOn w:val="Normal"/>
    <w:link w:val="HeaderChar"/>
    <w:uiPriority w:val="99"/>
    <w:unhideWhenUsed/>
    <w:rsid w:val="00925CAA"/>
    <w:pPr>
      <w:tabs>
        <w:tab w:val="center" w:pos="4513"/>
        <w:tab w:val="right" w:pos="9026"/>
      </w:tabs>
    </w:pPr>
  </w:style>
  <w:style w:type="character" w:customStyle="1" w:styleId="HeaderChar">
    <w:name w:val="Header Char"/>
    <w:link w:val="Header"/>
    <w:uiPriority w:val="99"/>
    <w:rsid w:val="00925CAA"/>
    <w:rPr>
      <w:sz w:val="24"/>
      <w:szCs w:val="24"/>
    </w:rPr>
  </w:style>
  <w:style w:type="paragraph" w:styleId="Footer">
    <w:name w:val="footer"/>
    <w:basedOn w:val="Normal"/>
    <w:link w:val="FooterChar"/>
    <w:uiPriority w:val="99"/>
    <w:unhideWhenUsed/>
    <w:rsid w:val="00925CAA"/>
    <w:pPr>
      <w:tabs>
        <w:tab w:val="center" w:pos="4513"/>
        <w:tab w:val="right" w:pos="9026"/>
      </w:tabs>
    </w:pPr>
  </w:style>
  <w:style w:type="character" w:customStyle="1" w:styleId="FooterChar">
    <w:name w:val="Footer Char"/>
    <w:link w:val="Footer"/>
    <w:uiPriority w:val="99"/>
    <w:rsid w:val="00925CA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1903</Words>
  <Characters>10337</Characters>
  <Application>Microsoft Office Word</Application>
  <DocSecurity>0</DocSecurity>
  <Lines>159</Lines>
  <Paragraphs>31</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Michael Lacewing</dc:creator>
  <cp:keywords/>
  <cp:lastModifiedBy>Michael Lacewing</cp:lastModifiedBy>
  <cp:revision>2</cp:revision>
  <dcterms:created xsi:type="dcterms:W3CDTF">2018-03-27T16:52:00Z</dcterms:created>
  <dcterms:modified xsi:type="dcterms:W3CDTF">2018-03-27T16:52:00Z</dcterms:modified>
</cp:coreProperties>
</file>