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97D68" w:rsidRPr="00497F80" w:rsidRDefault="00480DDF">
      <w:pPr>
        <w:pStyle w:val="Heading1"/>
        <w:jc w:val="center"/>
        <w:rPr>
          <w:rFonts w:ascii="Trebuchet MS" w:hAnsi="Trebuchet MS"/>
          <w:b/>
          <w:sz w:val="28"/>
          <w:szCs w:val="28"/>
          <w:u w:val="none"/>
        </w:rPr>
      </w:pPr>
      <w:r w:rsidRPr="00497F80">
        <w:rPr>
          <w:rFonts w:ascii="Trebuchet MS" w:hAnsi="Trebuchet MS"/>
          <w:b/>
          <w:sz w:val="28"/>
          <w:szCs w:val="28"/>
          <w:u w:val="none"/>
        </w:rPr>
        <w:t>Philosophical B</w:t>
      </w:r>
      <w:r w:rsidR="00D0652A" w:rsidRPr="00497F80">
        <w:rPr>
          <w:rFonts w:ascii="Trebuchet MS" w:hAnsi="Trebuchet MS"/>
          <w:b/>
          <w:sz w:val="28"/>
          <w:szCs w:val="28"/>
          <w:u w:val="none"/>
        </w:rPr>
        <w:t>ehaviourism and the Problem of Other Minds</w:t>
      </w:r>
      <w:r w:rsidR="005168E0">
        <w:rPr>
          <w:rStyle w:val="FootnoteReference"/>
          <w:rFonts w:ascii="Trebuchet MS" w:hAnsi="Trebuchet MS"/>
          <w:b/>
          <w:sz w:val="28"/>
          <w:szCs w:val="28"/>
          <w:u w:val="none"/>
        </w:rPr>
        <w:footnoteReference w:id="1"/>
      </w:r>
    </w:p>
    <w:p w:rsidR="00C97D68" w:rsidRPr="00497F80" w:rsidRDefault="002A687B">
      <w:pPr>
        <w:rPr>
          <w:rFonts w:ascii="Trebuchet MS" w:hAnsi="Trebuchet MS"/>
        </w:rPr>
      </w:pPr>
    </w:p>
    <w:p w:rsidR="00A6641D" w:rsidRPr="00497F80" w:rsidRDefault="00A6641D">
      <w:pPr>
        <w:rPr>
          <w:rFonts w:ascii="Trebuchet MS" w:hAnsi="Trebuchet MS"/>
        </w:rPr>
      </w:pPr>
    </w:p>
    <w:p w:rsidR="00C97D68" w:rsidRPr="00497F80" w:rsidRDefault="00D0652A">
      <w:pPr>
        <w:rPr>
          <w:rFonts w:ascii="Trebuchet MS" w:hAnsi="Trebuchet MS"/>
          <w:b/>
        </w:rPr>
      </w:pPr>
      <w:r w:rsidRPr="00497F80">
        <w:rPr>
          <w:rFonts w:ascii="Trebuchet MS" w:hAnsi="Trebuchet MS"/>
          <w:b/>
        </w:rPr>
        <w:t>What is behaviourism?</w:t>
      </w:r>
    </w:p>
    <w:p w:rsidR="00A6641D" w:rsidRPr="00497F80" w:rsidRDefault="00A6641D" w:rsidP="00A6641D">
      <w:pPr>
        <w:rPr>
          <w:rFonts w:ascii="Trebuchet MS" w:hAnsi="Trebuchet MS"/>
        </w:rPr>
      </w:pPr>
      <w:r w:rsidRPr="00497F80">
        <w:rPr>
          <w:rFonts w:ascii="Trebuchet MS" w:hAnsi="Trebuchet MS"/>
        </w:rPr>
        <w:t>The term ‘behaviourism’ (without the adjective ‘philosophical’) refers to a theory that started in the 1920s of how psychology should conduct itself to achieve the status of a science. Science, behaviourism claimed, can only investigate what is publicly accessible. Hence psychology can and must aim only at the explanation and prediction of bodily behaviour, as any talk of or appeal to ‘inner’, inaccessible mental states cannot be scientific. There is no scientific way to establish their existence or nature. It is no objection to say: ‘but we can ask people what they feel/want/believe’. Behaviourism applies to and includes speech behaviour. What people say does not give us ‘direct access’ to their inner states; it is just another form of behaviour.</w:t>
      </w:r>
    </w:p>
    <w:p w:rsidR="00A6641D" w:rsidRPr="00497F80" w:rsidRDefault="00A6641D" w:rsidP="00A6641D">
      <w:pPr>
        <w:rPr>
          <w:rFonts w:ascii="Trebuchet MS" w:hAnsi="Trebuchet MS"/>
        </w:rPr>
      </w:pPr>
    </w:p>
    <w:p w:rsidR="00A6641D" w:rsidRPr="00497F80" w:rsidRDefault="00A6641D" w:rsidP="00A6641D">
      <w:pPr>
        <w:pStyle w:val="Text"/>
        <w:keepNext w:val="0"/>
        <w:widowControl/>
        <w:rPr>
          <w:lang w:val="en-GB"/>
        </w:rPr>
      </w:pPr>
      <w:r w:rsidRPr="00497F80">
        <w:rPr>
          <w:lang w:val="en-GB"/>
        </w:rPr>
        <w:t xml:space="preserve">This theory, of how psychology should proceed, is </w:t>
      </w:r>
      <w:r w:rsidRPr="00497F80">
        <w:rPr>
          <w:i/>
          <w:lang w:val="en-GB"/>
        </w:rPr>
        <w:t>methodological</w:t>
      </w:r>
      <w:r w:rsidRPr="00497F80">
        <w:rPr>
          <w:lang w:val="en-GB"/>
        </w:rPr>
        <w:t xml:space="preserve"> behaviourism. It makes claims about the methods of science and about </w:t>
      </w:r>
      <w:r w:rsidRPr="00497F80">
        <w:rPr>
          <w:i/>
          <w:lang w:val="en-GB"/>
        </w:rPr>
        <w:t xml:space="preserve">how we can know </w:t>
      </w:r>
      <w:r w:rsidRPr="00497F80">
        <w:rPr>
          <w:lang w:val="en-GB"/>
        </w:rPr>
        <w:t xml:space="preserve">about mental states. </w:t>
      </w:r>
    </w:p>
    <w:p w:rsidR="00A6641D" w:rsidRPr="00497F80" w:rsidRDefault="00A6641D">
      <w:pPr>
        <w:rPr>
          <w:rFonts w:ascii="Trebuchet MS" w:hAnsi="Trebuchet MS"/>
        </w:rPr>
      </w:pPr>
    </w:p>
    <w:p w:rsidR="00A6641D" w:rsidRPr="00497F80" w:rsidRDefault="00A6641D" w:rsidP="00A6641D">
      <w:pPr>
        <w:pStyle w:val="Text"/>
        <w:keepNext w:val="0"/>
        <w:widowControl/>
        <w:rPr>
          <w:lang w:val="en-GB"/>
        </w:rPr>
      </w:pPr>
      <w:r w:rsidRPr="00497F80">
        <w:rPr>
          <w:lang w:val="en-GB"/>
        </w:rPr>
        <w:t xml:space="preserve">By contrast, philosophical behaviourism claims that </w:t>
      </w:r>
      <w:r w:rsidRPr="00497F80">
        <w:rPr>
          <w:i/>
          <w:iCs/>
          <w:lang w:val="en-GB"/>
        </w:rPr>
        <w:t xml:space="preserve">what </w:t>
      </w:r>
      <w:r w:rsidRPr="00497F80">
        <w:rPr>
          <w:i/>
          <w:lang w:val="en-GB"/>
        </w:rPr>
        <w:t>we are talking about</w:t>
      </w:r>
      <w:r w:rsidRPr="00497F80">
        <w:rPr>
          <w:lang w:val="en-GB"/>
        </w:rPr>
        <w:t xml:space="preserve"> when we are talking about the mind and mental states is behaviour – what people do and how they react. On this view, the mind is not a ‘thing’. Rather, we can talk about organisms ‘having minds’, or better, having mental states, on the basis of how they behave.</w:t>
      </w:r>
      <w:r w:rsidR="00480DDF" w:rsidRPr="00497F80">
        <w:rPr>
          <w:lang w:val="en-GB"/>
        </w:rPr>
        <w:t xml:space="preserve"> </w:t>
      </w:r>
      <w:r w:rsidRPr="00497F80">
        <w:rPr>
          <w:iCs/>
          <w:lang w:val="en-GB"/>
        </w:rPr>
        <w:t xml:space="preserve">Philosophical behaviourism is a family of theories that claim that we can analyse mental concepts in terms of concepts that relate to the body, and in particular, the concept of ‘behaviour’. While other theories in philosophy of mind often focus on questions of metaphysics, e.g. whether mental properties ‘exist’ independently of physical properties, philosophical behaviourism focuses on questions of philosophy of language, and what it means to talk about mental properties in the first place. </w:t>
      </w:r>
    </w:p>
    <w:p w:rsidR="00A6641D" w:rsidRPr="00497F80" w:rsidRDefault="00A6641D" w:rsidP="00A6641D">
      <w:pPr>
        <w:pStyle w:val="Text"/>
        <w:keepNext w:val="0"/>
        <w:widowControl/>
        <w:rPr>
          <w:lang w:val="en-GB"/>
        </w:rPr>
      </w:pPr>
    </w:p>
    <w:p w:rsidR="00C97D68" w:rsidRPr="00497F80" w:rsidRDefault="00A6641D" w:rsidP="00480DDF">
      <w:pPr>
        <w:pStyle w:val="Text"/>
        <w:keepNext w:val="0"/>
        <w:widowControl/>
        <w:rPr>
          <w:lang w:val="en-GB"/>
        </w:rPr>
      </w:pPr>
      <w:r w:rsidRPr="00497F80">
        <w:rPr>
          <w:iCs/>
          <w:lang w:val="en-GB"/>
        </w:rPr>
        <w:t>There are different kinds of philosophical behaviourism. Although they both agree that we can analyse mental concepts in terms of behaviour, their arguments for philosophical behaviourism, and indeed what they mean by ‘behaviour’, are very different.</w:t>
      </w:r>
      <w:r w:rsidR="00480DDF" w:rsidRPr="00497F80">
        <w:rPr>
          <w:iCs/>
          <w:lang w:val="en-GB"/>
        </w:rPr>
        <w:t xml:space="preserve"> </w:t>
      </w:r>
      <w:r w:rsidRPr="00497F80">
        <w:rPr>
          <w:lang w:val="en-GB"/>
        </w:rPr>
        <w:t xml:space="preserve">Some philosophical behaviourists, including Carl Hempel, </w:t>
      </w:r>
      <w:r w:rsidR="0079790A" w:rsidRPr="00497F80">
        <w:rPr>
          <w:lang w:val="en-GB"/>
        </w:rPr>
        <w:t>recommend</w:t>
      </w:r>
      <w:r w:rsidR="00D0652A" w:rsidRPr="00497F80">
        <w:rPr>
          <w:lang w:val="en-GB"/>
        </w:rPr>
        <w:t xml:space="preserve"> that when we try to describe and explain behaviour, concepts that refer to ‘inner’ mental states should (and can) either be paraphrased into concepts that refer only to behaviour and external events or eliminated. </w:t>
      </w:r>
      <w:r w:rsidR="00480DDF" w:rsidRPr="00497F80">
        <w:rPr>
          <w:lang w:val="en-GB"/>
        </w:rPr>
        <w:t>Other</w:t>
      </w:r>
      <w:r w:rsidR="00D0652A" w:rsidRPr="00497F80">
        <w:rPr>
          <w:lang w:val="en-GB"/>
        </w:rPr>
        <w:t xml:space="preserve"> logical behaviourists</w:t>
      </w:r>
      <w:r w:rsidR="00480DDF" w:rsidRPr="00497F80">
        <w:rPr>
          <w:lang w:val="en-GB"/>
        </w:rPr>
        <w:t>, including Gilbert Ryle, accept</w:t>
      </w:r>
      <w:r w:rsidR="00D0652A" w:rsidRPr="00497F80">
        <w:rPr>
          <w:lang w:val="en-GB"/>
        </w:rPr>
        <w:t xml:space="preserve"> that we continue to talk about mental states – beliefs, desires and so on – because it is much simpler than trying to talk about actual and potential behaviours.</w:t>
      </w:r>
    </w:p>
    <w:p w:rsidR="00C97D68" w:rsidRPr="00497F80" w:rsidRDefault="002A687B">
      <w:pPr>
        <w:rPr>
          <w:rFonts w:ascii="Trebuchet MS" w:hAnsi="Trebuchet MS"/>
        </w:rPr>
      </w:pPr>
    </w:p>
    <w:p w:rsidR="00C97D68" w:rsidRPr="00497F80" w:rsidRDefault="00D0652A">
      <w:pPr>
        <w:rPr>
          <w:rFonts w:ascii="Trebuchet MS" w:hAnsi="Trebuchet MS"/>
        </w:rPr>
      </w:pPr>
      <w:r w:rsidRPr="00497F80">
        <w:rPr>
          <w:rFonts w:ascii="Trebuchet MS" w:hAnsi="Trebuchet MS"/>
        </w:rPr>
        <w:t xml:space="preserve">In its simplest, and very implausible, form, logical behaviourism equates a mental state, e.g. pain, to actual behaviour: so to be in pain is to do certain things, such as wince, recoil from the cause of pain, nurse the damaged part of the body, etc. But someone stoical might not show their pain; while an actor might pretend to be in pain. So this can’t be right. The more sophisticated version claims that talk of </w:t>
      </w:r>
      <w:r w:rsidRPr="00497F80">
        <w:rPr>
          <w:rFonts w:ascii="Trebuchet MS" w:hAnsi="Trebuchet MS"/>
        </w:rPr>
        <w:lastRenderedPageBreak/>
        <w:t xml:space="preserve">pain is just talk of the </w:t>
      </w:r>
      <w:r w:rsidRPr="00497F80">
        <w:rPr>
          <w:rFonts w:ascii="Trebuchet MS" w:hAnsi="Trebuchet MS"/>
          <w:i/>
          <w:iCs/>
        </w:rPr>
        <w:t>disposition</w:t>
      </w:r>
      <w:r w:rsidRPr="00497F80">
        <w:rPr>
          <w:rFonts w:ascii="Trebuchet MS" w:hAnsi="Trebuchet MS"/>
        </w:rPr>
        <w:t xml:space="preserve"> to behave in these ways, which the stoic has, but the actor does not. When talking of dispositions, we are talking of what the person might do in particular situations.</w:t>
      </w:r>
    </w:p>
    <w:p w:rsidR="00C97D68" w:rsidRPr="00497F80" w:rsidRDefault="002A687B">
      <w:pPr>
        <w:rPr>
          <w:rFonts w:ascii="Trebuchet MS" w:hAnsi="Trebuchet MS"/>
        </w:rPr>
      </w:pPr>
    </w:p>
    <w:p w:rsidR="00C97D68" w:rsidRPr="00497F80" w:rsidRDefault="00D0652A">
      <w:pPr>
        <w:rPr>
          <w:rFonts w:ascii="Trebuchet MS" w:hAnsi="Trebuchet MS"/>
          <w:b/>
        </w:rPr>
      </w:pPr>
      <w:r w:rsidRPr="00497F80">
        <w:rPr>
          <w:rFonts w:ascii="Trebuchet MS" w:hAnsi="Trebuchet MS"/>
          <w:b/>
        </w:rPr>
        <w:t>Behaviourism and the problem of other minds</w:t>
      </w:r>
    </w:p>
    <w:p w:rsidR="00C97D68" w:rsidRPr="00497F80" w:rsidRDefault="00D0652A">
      <w:pPr>
        <w:rPr>
          <w:rFonts w:ascii="Trebuchet MS" w:hAnsi="Trebuchet MS"/>
        </w:rPr>
      </w:pPr>
      <w:r w:rsidRPr="00497F80">
        <w:rPr>
          <w:rFonts w:ascii="Trebuchet MS" w:hAnsi="Trebuchet MS"/>
        </w:rPr>
        <w:t xml:space="preserve">The problem of other minds is the question of how we can know that there are minds other than our own. We each experience our own minds </w:t>
      </w:r>
      <w:r w:rsidRPr="00497F80">
        <w:rPr>
          <w:rFonts w:ascii="Trebuchet MS" w:hAnsi="Trebuchet MS"/>
          <w:i/>
        </w:rPr>
        <w:t>directly</w:t>
      </w:r>
      <w:r w:rsidRPr="00497F80">
        <w:rPr>
          <w:rFonts w:ascii="Trebuchet MS" w:hAnsi="Trebuchet MS"/>
        </w:rPr>
        <w:t>, from ‘within’, but we cannot do this with anyone else. Is there an indirect way of knowing about other minds; and if so, what is it? John Stuart Mill was the first philosopher to recognise the problem in its modern form. There are different types of answer philosophers have given:</w:t>
      </w:r>
    </w:p>
    <w:p w:rsidR="00497F80" w:rsidRPr="00497F80" w:rsidRDefault="00497F80">
      <w:pPr>
        <w:rPr>
          <w:rFonts w:ascii="Trebuchet MS" w:hAnsi="Trebuchet MS"/>
        </w:rPr>
      </w:pPr>
    </w:p>
    <w:p w:rsidR="00C97D68" w:rsidRPr="00497F80" w:rsidRDefault="00D0652A" w:rsidP="00C97D68">
      <w:pPr>
        <w:numPr>
          <w:ilvl w:val="0"/>
          <w:numId w:val="2"/>
        </w:numPr>
        <w:tabs>
          <w:tab w:val="clear" w:pos="720"/>
        </w:tabs>
        <w:ind w:left="360"/>
        <w:rPr>
          <w:rFonts w:ascii="Trebuchet MS" w:hAnsi="Trebuchet MS"/>
        </w:rPr>
      </w:pPr>
      <w:r w:rsidRPr="00497F80">
        <w:rPr>
          <w:rFonts w:ascii="Trebuchet MS" w:hAnsi="Trebuchet MS"/>
        </w:rPr>
        <w:t>that other human beings have minds is the ‘best explanation’ for how they behave;</w:t>
      </w:r>
    </w:p>
    <w:p w:rsidR="00C97D68" w:rsidRPr="00497F80" w:rsidRDefault="00D0652A" w:rsidP="00C97D68">
      <w:pPr>
        <w:numPr>
          <w:ilvl w:val="0"/>
          <w:numId w:val="2"/>
        </w:numPr>
        <w:tabs>
          <w:tab w:val="clear" w:pos="720"/>
        </w:tabs>
        <w:ind w:left="360"/>
        <w:rPr>
          <w:rFonts w:ascii="Trebuchet MS" w:hAnsi="Trebuchet MS"/>
        </w:rPr>
      </w:pPr>
      <w:r w:rsidRPr="00497F80">
        <w:rPr>
          <w:rFonts w:ascii="Trebuchet MS" w:hAnsi="Trebuchet MS"/>
        </w:rPr>
        <w:t xml:space="preserve">that the premise of the argument is wrong – we </w:t>
      </w:r>
      <w:r w:rsidRPr="00497F80">
        <w:rPr>
          <w:rFonts w:ascii="Trebuchet MS" w:hAnsi="Trebuchet MS"/>
          <w:i/>
        </w:rPr>
        <w:t>do</w:t>
      </w:r>
      <w:r w:rsidRPr="00497F80">
        <w:rPr>
          <w:rFonts w:ascii="Trebuchet MS" w:hAnsi="Trebuchet MS"/>
        </w:rPr>
        <w:t xml:space="preserve"> have direct experience of other people’s minds, e.g. in the experience of being watched; or again, that we need a sense of others before we can gain a sense of ourselves;</w:t>
      </w:r>
    </w:p>
    <w:p w:rsidR="00C97D68" w:rsidRPr="00497F80" w:rsidRDefault="00D0652A" w:rsidP="00C97D68">
      <w:pPr>
        <w:numPr>
          <w:ilvl w:val="0"/>
          <w:numId w:val="2"/>
        </w:numPr>
        <w:tabs>
          <w:tab w:val="clear" w:pos="720"/>
        </w:tabs>
        <w:ind w:left="360"/>
        <w:rPr>
          <w:rFonts w:ascii="Trebuchet MS" w:hAnsi="Trebuchet MS"/>
        </w:rPr>
      </w:pPr>
      <w:r w:rsidRPr="00497F80">
        <w:rPr>
          <w:rFonts w:ascii="Trebuchet MS" w:hAnsi="Trebuchet MS"/>
        </w:rPr>
        <w:t>the argument from analogy: other people are made of the same stuff as me and behave very much as I do in similar circumstances; I have a mind; by analogy, it’s logical to think they do as well; this was Mill’s argument;</w:t>
      </w:r>
    </w:p>
    <w:p w:rsidR="00C97D68" w:rsidRPr="00497F80" w:rsidRDefault="00D0652A" w:rsidP="00C97D68">
      <w:pPr>
        <w:numPr>
          <w:ilvl w:val="0"/>
          <w:numId w:val="2"/>
        </w:numPr>
        <w:tabs>
          <w:tab w:val="clear" w:pos="720"/>
        </w:tabs>
        <w:ind w:left="360"/>
        <w:rPr>
          <w:rFonts w:ascii="Trebuchet MS" w:hAnsi="Trebuchet MS"/>
        </w:rPr>
      </w:pPr>
      <w:r w:rsidRPr="00497F80">
        <w:rPr>
          <w:rFonts w:ascii="Trebuchet MS" w:hAnsi="Trebuchet MS"/>
        </w:rPr>
        <w:t xml:space="preserve">that behaviour is not </w:t>
      </w:r>
      <w:r w:rsidRPr="00497F80">
        <w:rPr>
          <w:rFonts w:ascii="Trebuchet MS" w:hAnsi="Trebuchet MS"/>
          <w:i/>
        </w:rPr>
        <w:t>evidence</w:t>
      </w:r>
      <w:r w:rsidRPr="00497F80">
        <w:rPr>
          <w:rFonts w:ascii="Trebuchet MS" w:hAnsi="Trebuchet MS"/>
        </w:rPr>
        <w:t xml:space="preserve"> that someone has a mind; the link is ‘criterial’, not inductive. </w:t>
      </w:r>
    </w:p>
    <w:p w:rsidR="00C97D68" w:rsidRPr="00497F80" w:rsidRDefault="002A687B">
      <w:pPr>
        <w:rPr>
          <w:rFonts w:ascii="Trebuchet MS" w:hAnsi="Trebuchet MS"/>
        </w:rPr>
      </w:pPr>
    </w:p>
    <w:p w:rsidR="00C97D68" w:rsidRPr="00497F80" w:rsidRDefault="00D0652A">
      <w:pPr>
        <w:rPr>
          <w:rFonts w:ascii="Trebuchet MS" w:hAnsi="Trebuchet MS"/>
        </w:rPr>
      </w:pPr>
      <w:r w:rsidRPr="00497F80">
        <w:rPr>
          <w:rFonts w:ascii="Trebuchet MS" w:hAnsi="Trebuchet MS"/>
        </w:rPr>
        <w:t>We will only look at (3) and a ve</w:t>
      </w:r>
      <w:r w:rsidR="00497F80" w:rsidRPr="00497F80">
        <w:rPr>
          <w:rFonts w:ascii="Trebuchet MS" w:hAnsi="Trebuchet MS"/>
        </w:rPr>
        <w:t>rsion of (4) here. Gilbert Ryle</w:t>
      </w:r>
      <w:r w:rsidRPr="00497F80">
        <w:rPr>
          <w:rFonts w:ascii="Trebuchet MS" w:hAnsi="Trebuchet MS"/>
        </w:rPr>
        <w:t xml:space="preserve"> pointed out that the argument from analogy is seriously flawed because of how it uses induction. First, the conclusion, that other people have minds, is based on a single case – mine. This is like saying ‘that dog has three legs; therefore, all dogs have three legs’. You can’t generalize from one case, because it could be a special case. Perhaps I am the only person to have a mind. Second, Ryle argued that inductive conclusions should be able to  be checked. We know from seeing other dogs that a three-legged dog is unusual – we can check the conclusion. But it is </w:t>
      </w:r>
      <w:r w:rsidRPr="00497F80">
        <w:rPr>
          <w:rFonts w:ascii="Trebuchet MS" w:hAnsi="Trebuchet MS"/>
          <w:i/>
        </w:rPr>
        <w:t>impossible</w:t>
      </w:r>
      <w:r w:rsidRPr="00497F80">
        <w:rPr>
          <w:rFonts w:ascii="Trebuchet MS" w:hAnsi="Trebuchet MS"/>
        </w:rPr>
        <w:t xml:space="preserve"> to check if other people have minds; we cannot experience their minds directly (in fact, this is logically impossible).</w:t>
      </w:r>
    </w:p>
    <w:p w:rsidR="00C97D68" w:rsidRPr="00497F80" w:rsidRDefault="002A687B">
      <w:pPr>
        <w:rPr>
          <w:rFonts w:ascii="Trebuchet MS" w:hAnsi="Trebuchet MS"/>
        </w:rPr>
      </w:pPr>
    </w:p>
    <w:p w:rsidR="00C97D68" w:rsidRPr="00497F80" w:rsidRDefault="00D0652A">
      <w:pPr>
        <w:rPr>
          <w:rFonts w:ascii="Trebuchet MS" w:hAnsi="Trebuchet MS"/>
        </w:rPr>
      </w:pPr>
      <w:r w:rsidRPr="00497F80">
        <w:rPr>
          <w:rFonts w:ascii="Trebuchet MS" w:hAnsi="Trebuchet MS"/>
        </w:rPr>
        <w:t>If behaviourism is true, however, and talking about mental states – and so minds – is just talking about dispositions to behave in certain ways, then the link between behaviour and minds isn’t evidential. From how someone behaves, we can infer what behavioural dispositions they have. But from this, we don’t then infer that they have a mind. To say they have certain dispositions just is to say they have certain mental states. Certain types of behaviour, then, aren’t simply evidence for certain mental states; the link is logical.</w:t>
      </w:r>
    </w:p>
    <w:p w:rsidR="00C97D68" w:rsidRPr="00497F80" w:rsidRDefault="002A687B">
      <w:pPr>
        <w:rPr>
          <w:rFonts w:ascii="Trebuchet MS" w:hAnsi="Trebuchet MS"/>
        </w:rPr>
      </w:pPr>
    </w:p>
    <w:p w:rsidR="00C97D68" w:rsidRPr="00497F80" w:rsidRDefault="00D0652A">
      <w:pPr>
        <w:rPr>
          <w:rFonts w:ascii="Trebuchet MS" w:hAnsi="Trebuchet MS"/>
        </w:rPr>
      </w:pPr>
      <w:r w:rsidRPr="00497F80">
        <w:rPr>
          <w:rFonts w:ascii="Trebuchet MS" w:hAnsi="Trebuchet MS"/>
        </w:rPr>
        <w:t>It seems, then, that behaviourism can solve the problem of other minds. We can know that other people have minds, too, because we can know directly that they behave in particular ways (we can see this), and to say they have minds is just to say that they have certain sorts of behavioural dispositions. But behaviourism faces a number of objections so serious that most philosophers have abandoned the theory.</w:t>
      </w:r>
    </w:p>
    <w:p w:rsidR="00C97D68" w:rsidRPr="00497F80" w:rsidRDefault="002A687B">
      <w:pPr>
        <w:rPr>
          <w:rFonts w:ascii="Trebuchet MS" w:hAnsi="Trebuchet MS"/>
        </w:rPr>
      </w:pPr>
    </w:p>
    <w:p w:rsidR="00497F80" w:rsidRPr="00497F80" w:rsidRDefault="00497F80">
      <w:pPr>
        <w:rPr>
          <w:rFonts w:ascii="Trebuchet MS" w:hAnsi="Trebuchet MS"/>
        </w:rPr>
      </w:pPr>
    </w:p>
    <w:p w:rsidR="00497F80" w:rsidRPr="00497F80" w:rsidRDefault="00497F80">
      <w:pPr>
        <w:rPr>
          <w:rFonts w:ascii="Trebuchet MS" w:hAnsi="Trebuchet MS"/>
        </w:rPr>
      </w:pPr>
    </w:p>
    <w:p w:rsidR="00C97D68" w:rsidRPr="00497F80" w:rsidRDefault="00D0652A">
      <w:pPr>
        <w:rPr>
          <w:rFonts w:ascii="Trebuchet MS" w:hAnsi="Trebuchet MS"/>
          <w:b/>
          <w:iCs/>
        </w:rPr>
      </w:pPr>
      <w:r w:rsidRPr="00497F80">
        <w:rPr>
          <w:rFonts w:ascii="Trebuchet MS" w:hAnsi="Trebuchet MS"/>
          <w:b/>
          <w:iCs/>
        </w:rPr>
        <w:t>Objections and replies</w:t>
      </w:r>
    </w:p>
    <w:p w:rsidR="00C97D68" w:rsidRPr="00497F80" w:rsidRDefault="00D0652A">
      <w:pPr>
        <w:rPr>
          <w:rFonts w:ascii="Trebuchet MS" w:hAnsi="Trebuchet MS"/>
        </w:rPr>
      </w:pPr>
      <w:r w:rsidRPr="00497F80">
        <w:rPr>
          <w:rFonts w:ascii="Trebuchet MS" w:hAnsi="Trebuchet MS"/>
        </w:rPr>
        <w:t xml:space="preserve">Because of the exclusive emphasis it places on behaviour, behaviourism appears to deal well with other people’s minds. But of course, there is still our experience of our own minds to be taken into account, experience that doesn’t seem to depend on or be about how we behave. The first objection along these lines claims that we can tell from </w:t>
      </w:r>
      <w:r w:rsidRPr="00497F80">
        <w:rPr>
          <w:rFonts w:ascii="Trebuchet MS" w:hAnsi="Trebuchet MS"/>
          <w:i/>
          <w:iCs/>
        </w:rPr>
        <w:t>introspection</w:t>
      </w:r>
      <w:r w:rsidRPr="00497F80">
        <w:rPr>
          <w:rFonts w:ascii="Trebuchet MS" w:hAnsi="Trebuchet MS"/>
        </w:rPr>
        <w:t xml:space="preserve"> what mental states – beliefs, desires and so on – we have. This would seem odd if mental states were just dispositions to behaviour. They have some ‘inner’ aspect as well that reveals their content to us directly. The second objection, from phenomenology, presses the point: many mental states have an inner aspect which can’t be captured by behaviour at all. Pain isn’t just a disposition to shout or wince; there is also </w:t>
      </w:r>
      <w:r w:rsidRPr="00497F80">
        <w:rPr>
          <w:rFonts w:ascii="Trebuchet MS" w:hAnsi="Trebuchet MS"/>
          <w:i/>
        </w:rPr>
        <w:t>how pain feels</w:t>
      </w:r>
      <w:r w:rsidRPr="00497F80">
        <w:rPr>
          <w:rFonts w:ascii="Trebuchet MS" w:hAnsi="Trebuchet MS"/>
        </w:rPr>
        <w:t xml:space="preserve">, ‘what it is like’ to experience pain. Or again, couldn’t it be that you and I have identical dispositions to behaviour, but ‘from the inside’ there is something different? Imagine that what you and I call ‘green’ I see as what you see when you look at something we both call ‘red’. </w:t>
      </w:r>
    </w:p>
    <w:p w:rsidR="00C97D68" w:rsidRPr="00497F80" w:rsidRDefault="002A687B">
      <w:pPr>
        <w:rPr>
          <w:rFonts w:ascii="Trebuchet MS" w:hAnsi="Trebuchet MS"/>
        </w:rPr>
      </w:pPr>
    </w:p>
    <w:p w:rsidR="00C97D68" w:rsidRPr="00497F80" w:rsidRDefault="00D0652A">
      <w:pPr>
        <w:rPr>
          <w:rFonts w:ascii="Trebuchet MS" w:hAnsi="Trebuchet MS"/>
        </w:rPr>
      </w:pPr>
      <w:r w:rsidRPr="00497F80">
        <w:rPr>
          <w:rFonts w:ascii="Trebuchet MS" w:hAnsi="Trebuchet MS"/>
        </w:rPr>
        <w:t xml:space="preserve">Behaviourists have attempted to counter these objections by again pointing to what our language about the mind means, and this leads to the view (4 above) that behaviour isn’t </w:t>
      </w:r>
      <w:r w:rsidRPr="00497F80">
        <w:rPr>
          <w:rFonts w:ascii="Trebuchet MS" w:hAnsi="Trebuchet MS"/>
          <w:i/>
        </w:rPr>
        <w:t>evidence</w:t>
      </w:r>
      <w:r w:rsidRPr="00497F80">
        <w:rPr>
          <w:rFonts w:ascii="Trebuchet MS" w:hAnsi="Trebuchet MS"/>
        </w:rPr>
        <w:t xml:space="preserve"> for a mind, it is what </w:t>
      </w:r>
      <w:r w:rsidRPr="00497F80">
        <w:rPr>
          <w:rFonts w:ascii="Trebuchet MS" w:hAnsi="Trebuchet MS"/>
          <w:i/>
        </w:rPr>
        <w:t xml:space="preserve">gives meaning </w:t>
      </w:r>
      <w:r w:rsidRPr="00497F80">
        <w:rPr>
          <w:rFonts w:ascii="Trebuchet MS" w:hAnsi="Trebuchet MS"/>
        </w:rPr>
        <w:t xml:space="preserve">to talk about minds. Take the last example: can we coherently suppose and describe the idea that I see ‘red’ when looking at something green? I don’t have any other way of describing what I see when I see something we call ‘green’ except ‘green’! All our language about the mind still derives from behaviour. Now, of course, I can’t ‘check’ whether what occurs in your consciousness is just what occurs in my consciousness when we look at the same colour. But this is because it is </w:t>
      </w:r>
      <w:r w:rsidRPr="00497F80">
        <w:rPr>
          <w:rFonts w:ascii="Trebuchet MS" w:hAnsi="Trebuchet MS"/>
          <w:i/>
          <w:iCs/>
        </w:rPr>
        <w:t>logically</w:t>
      </w:r>
      <w:r w:rsidRPr="00497F80">
        <w:rPr>
          <w:rFonts w:ascii="Trebuchet MS" w:hAnsi="Trebuchet MS"/>
        </w:rPr>
        <w:t xml:space="preserve"> impossible: there isn’t actually anything here I can’t do, because ‘checking your consciousness’ here doesn’t make sense. So there to try to ‘compare’ what we see ‘in our minds’ is literally nonsense. It’s like saying ‘suppose this circle is a square’…</w:t>
      </w:r>
    </w:p>
    <w:p w:rsidR="00C97D68" w:rsidRPr="00497F80" w:rsidRDefault="002A687B">
      <w:pPr>
        <w:rPr>
          <w:rFonts w:ascii="Trebuchet MS" w:hAnsi="Trebuchet MS"/>
        </w:rPr>
      </w:pPr>
    </w:p>
    <w:p w:rsidR="00C97D68" w:rsidRPr="00497F80" w:rsidRDefault="00D0652A">
      <w:pPr>
        <w:rPr>
          <w:rFonts w:ascii="Trebuchet MS" w:hAnsi="Trebuchet MS"/>
        </w:rPr>
      </w:pPr>
      <w:r w:rsidRPr="00497F80">
        <w:rPr>
          <w:rFonts w:ascii="Trebuchet MS" w:hAnsi="Trebuchet MS"/>
        </w:rPr>
        <w:t>A similar answer can be given to the first objection. It might be that we can identify what our mental states (=behavioural dispositions) are immediately. But how did we learn to identify and then describe these states (a desire for chocolate, a belief that dogs have four legs)? It must have been from other people, and that means that there must have been a way to correlate something public, available to others – i.e. behaviour – with these states in the first place. If there isn’t such an outward expression, we would lack to means to identify and describe the states. So introspection doesn’t show mental states aren’t really behavioural dispositions, since all talk about mental states can only be meaningful if it is tied to behaviour.</w:t>
      </w:r>
    </w:p>
    <w:p w:rsidR="00C97D68" w:rsidRPr="00497F80" w:rsidRDefault="002A687B">
      <w:pPr>
        <w:rPr>
          <w:rFonts w:ascii="Trebuchet MS" w:hAnsi="Trebuchet MS"/>
        </w:rPr>
      </w:pPr>
    </w:p>
    <w:p w:rsidR="00C97D68" w:rsidRPr="00497F80" w:rsidRDefault="00D0652A">
      <w:pPr>
        <w:rPr>
          <w:rFonts w:ascii="Trebuchet MS" w:hAnsi="Trebuchet MS"/>
        </w:rPr>
      </w:pPr>
      <w:r w:rsidRPr="00497F80">
        <w:rPr>
          <w:rFonts w:ascii="Trebuchet MS" w:hAnsi="Trebuchet MS"/>
        </w:rPr>
        <w:t xml:space="preserve">The third objection goes to the very heart of behaviourism: there is no set behaviour correlated with a mental state. Doing exactly the same thing could, in different instances, be expressions of completely different mental states – I might run towards something because I’m scared of it, and want to surprise it; or I might run towards it because I’m not scared of it. The stoic might be in pain, but not show it – thereby expressing the disposition not to show pain, a disposition to suppress the behavioural manifestation of another disposition. How can we tell which dispositions someone has and is expressing, and in particular, without </w:t>
      </w:r>
      <w:r w:rsidRPr="00497F80">
        <w:rPr>
          <w:rFonts w:ascii="Trebuchet MS" w:hAnsi="Trebuchet MS"/>
        </w:rPr>
        <w:lastRenderedPageBreak/>
        <w:t xml:space="preserve">referring to other mental states? But if these states are just dispositions to behave in certain ways as well, we’ll face the same problem over and over, and never get any definite correlation between a mental state and behaviour. </w:t>
      </w:r>
    </w:p>
    <w:p w:rsidR="00C97D68" w:rsidRPr="00497F80" w:rsidRDefault="002A687B">
      <w:pPr>
        <w:rPr>
          <w:rFonts w:ascii="Trebuchet MS" w:hAnsi="Trebuchet MS"/>
        </w:rPr>
      </w:pPr>
    </w:p>
    <w:p w:rsidR="00C97D68" w:rsidRPr="00497F80" w:rsidRDefault="00D0652A">
      <w:pPr>
        <w:rPr>
          <w:rFonts w:ascii="Trebuchet MS" w:hAnsi="Trebuchet MS"/>
        </w:rPr>
      </w:pPr>
      <w:r w:rsidRPr="00497F80">
        <w:rPr>
          <w:rFonts w:ascii="Trebuchet MS" w:hAnsi="Trebuchet MS"/>
        </w:rPr>
        <w:t xml:space="preserve">The behaviourist’s response here is to say that we are taking ‘behaviour’ much too narrowly. You can tell – from facial expression, for instance – whether someone is running scared or not scared; or from what happens next; or from just how they go about it. Behaviour is </w:t>
      </w:r>
      <w:r w:rsidRPr="00497F80">
        <w:rPr>
          <w:rFonts w:ascii="Trebuchet MS" w:hAnsi="Trebuchet MS"/>
          <w:i/>
          <w:iCs/>
        </w:rPr>
        <w:t>expressive</w:t>
      </w:r>
      <w:r w:rsidRPr="00497F80">
        <w:rPr>
          <w:rFonts w:ascii="Trebuchet MS" w:hAnsi="Trebuchet MS"/>
        </w:rPr>
        <w:t>, not just ‘mere behaviour’. But this reply is not legitimate: expressive descriptions of behaviour use the very mental terms (angrily, in fear, etc.) that behaviourism says should be replaced. So either we can’t correlate a mental state to behaviour or we can’t describe the behaviour in a way that replaces all references to mental states. In either case, we can’t replace talk of mental states by talk of behaviour.</w:t>
      </w:r>
    </w:p>
    <w:p w:rsidR="00C97D68" w:rsidRPr="00497F80" w:rsidRDefault="002A687B">
      <w:pPr>
        <w:rPr>
          <w:rFonts w:ascii="Trebuchet MS" w:hAnsi="Trebuchet MS"/>
        </w:rPr>
      </w:pPr>
    </w:p>
    <w:p w:rsidR="00C97D68" w:rsidRPr="00497F80" w:rsidRDefault="00D0652A">
      <w:pPr>
        <w:rPr>
          <w:rFonts w:ascii="Trebuchet MS" w:hAnsi="Trebuchet MS"/>
          <w:b/>
        </w:rPr>
      </w:pPr>
      <w:r w:rsidRPr="00497F80">
        <w:rPr>
          <w:rFonts w:ascii="Trebuchet MS" w:hAnsi="Trebuchet MS"/>
          <w:b/>
        </w:rPr>
        <w:t>Conclusion</w:t>
      </w:r>
    </w:p>
    <w:p w:rsidR="00C97D68" w:rsidRPr="00497F80" w:rsidRDefault="00D0652A">
      <w:pPr>
        <w:rPr>
          <w:rFonts w:ascii="Trebuchet MS" w:hAnsi="Trebuchet MS"/>
        </w:rPr>
      </w:pPr>
      <w:r w:rsidRPr="00497F80">
        <w:rPr>
          <w:rFonts w:ascii="Trebuchet MS" w:hAnsi="Trebuchet MS"/>
        </w:rPr>
        <w:t xml:space="preserve">Behaviourism’s analysis of talk about the mind has proven very useful. Language is something public, something we must learn from others; yet we can communicate about our mental states with other people. So there is an important link between mental states and what is publicly available, and this may help us solve the problem of other minds. But there are different models of how the link works. Behaviourism is distinctive in attempting to reduce talk (or meaningful talk) about the mind to talk about behaviour. Other theories, e.g. functionalism, reject this reduction. It claims that mental states are logically linked to behaviour, but they aren’t reducible to it. They exist as states (whether of a mental substance or states of the brain or states of the person) ‘between’ input (stimulus, experience) and output (behaviour). Cognitive science uses the model of complex interactions between many such states in ‘information-processing’. For example, learning is not just dependent on the stimulus you are presented with, but how you </w:t>
      </w:r>
      <w:r w:rsidRPr="00497F80">
        <w:rPr>
          <w:rFonts w:ascii="Trebuchet MS" w:hAnsi="Trebuchet MS"/>
          <w:i/>
        </w:rPr>
        <w:t>interpret</w:t>
      </w:r>
      <w:r w:rsidRPr="00497F80">
        <w:rPr>
          <w:rFonts w:ascii="Trebuchet MS" w:hAnsi="Trebuchet MS"/>
        </w:rPr>
        <w:t xml:space="preserve"> or </w:t>
      </w:r>
      <w:r w:rsidRPr="00497F80">
        <w:rPr>
          <w:rFonts w:ascii="Trebuchet MS" w:hAnsi="Trebuchet MS"/>
          <w:i/>
        </w:rPr>
        <w:t>represent</w:t>
      </w:r>
      <w:r w:rsidRPr="00497F80">
        <w:rPr>
          <w:rFonts w:ascii="Trebuchet MS" w:hAnsi="Trebuchet MS"/>
        </w:rPr>
        <w:t xml:space="preserve"> that experience. This ability to represent experience, to reflect on it and interpret, is precisely what has enabled us to behave more flexibly, in complex and unpredictable ways. We can’t reduce the idea of representation or of experience to the idea of dispositions to behave in certain ways.</w:t>
      </w:r>
    </w:p>
    <w:sectPr w:rsidR="00C97D68" w:rsidRPr="00497F80" w:rsidSect="00480DDF">
      <w:headerReference w:type="default" r:id="rId7"/>
      <w:headerReference w:type="first" r:id="rId8"/>
      <w:pgSz w:w="11900" w:h="16840"/>
      <w:pgMar w:top="1440" w:right="1460" w:bottom="1440" w:left="1440" w:header="708" w:footer="708" w:gutter="0"/>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A687B" w:rsidRDefault="002A687B" w:rsidP="00A6641D">
      <w:r>
        <w:separator/>
      </w:r>
    </w:p>
  </w:endnote>
  <w:endnote w:type="continuationSeparator" w:id="0">
    <w:p w:rsidR="002A687B" w:rsidRDefault="002A687B" w:rsidP="00A664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A687B" w:rsidRDefault="002A687B" w:rsidP="00A6641D">
      <w:r>
        <w:separator/>
      </w:r>
    </w:p>
  </w:footnote>
  <w:footnote w:type="continuationSeparator" w:id="0">
    <w:p w:rsidR="002A687B" w:rsidRDefault="002A687B" w:rsidP="00A6641D">
      <w:r>
        <w:continuationSeparator/>
      </w:r>
    </w:p>
  </w:footnote>
  <w:footnote w:id="1">
    <w:p w:rsidR="005168E0" w:rsidRDefault="005168E0">
      <w:pPr>
        <w:pStyle w:val="FootnoteText"/>
      </w:pPr>
      <w:r>
        <w:rPr>
          <w:rStyle w:val="FootnoteReference"/>
        </w:rPr>
        <w:footnoteRef/>
      </w:r>
      <w:r>
        <w:t xml:space="preserve"> </w:t>
      </w:r>
      <w:r w:rsidRPr="0058505C">
        <w:t xml:space="preserve">This handout is based on </w:t>
      </w:r>
      <w:r>
        <w:t>material from Lacewing, M. (2009</w:t>
      </w:r>
      <w:r w:rsidRPr="0058505C">
        <w:t xml:space="preserve">) </w:t>
      </w:r>
      <w:r>
        <w:rPr>
          <w:i/>
        </w:rPr>
        <w:t>Philosophy for A2: Unit 3</w:t>
      </w:r>
      <w:r w:rsidRPr="0058505C">
        <w:t xml:space="preserve"> (London: Routledge), </w:t>
      </w:r>
      <w:r>
        <w:t>Ch. 1, pp. 19-23</w:t>
      </w:r>
      <w:bookmarkStart w:id="0" w:name="_GoBack"/>
      <w:bookmarkEnd w:id="0"/>
      <w: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6641D" w:rsidRDefault="00A6641D" w:rsidP="00A6641D">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80DDF" w:rsidRDefault="00480DDF" w:rsidP="00480DDF">
    <w:pPr>
      <w:pStyle w:val="Header"/>
      <w:jc w:val="right"/>
    </w:pPr>
    <w:r>
      <w:t>© Michael Lacewing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E96C1B"/>
    <w:multiLevelType w:val="hybridMultilevel"/>
    <w:tmpl w:val="E49852E0"/>
    <w:lvl w:ilvl="0" w:tplc="00110409">
      <w:start w:val="1"/>
      <w:numFmt w:val="decimal"/>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15:restartNumberingAfterBreak="0">
    <w:nsid w:val="48D973B1"/>
    <w:multiLevelType w:val="hybridMultilevel"/>
    <w:tmpl w:val="1D62A65A"/>
    <w:lvl w:ilvl="0" w:tplc="000F0409">
      <w:start w:val="1"/>
      <w:numFmt w:val="decimal"/>
      <w:lvlText w:val="%1."/>
      <w:lvlJc w:val="left"/>
      <w:pPr>
        <w:tabs>
          <w:tab w:val="num" w:pos="720"/>
        </w:tabs>
        <w:ind w:left="720" w:hanging="360"/>
      </w:p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324897"/>
    <w:rsid w:val="002A687B"/>
    <w:rsid w:val="00324897"/>
    <w:rsid w:val="00480DDF"/>
    <w:rsid w:val="00497F80"/>
    <w:rsid w:val="005168E0"/>
    <w:rsid w:val="0079790A"/>
    <w:rsid w:val="00A6641D"/>
    <w:rsid w:val="00D065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4A0941B7"/>
  <w15:chartTrackingRefBased/>
  <w15:docId w15:val="{9897BF8F-E63E-D945-BD33-BCAA3AE423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27A07"/>
    <w:rPr>
      <w:sz w:val="24"/>
      <w:szCs w:val="24"/>
    </w:rPr>
  </w:style>
  <w:style w:type="paragraph" w:styleId="Heading1">
    <w:name w:val="heading 1"/>
    <w:basedOn w:val="Normal"/>
    <w:next w:val="Normal"/>
    <w:qFormat/>
    <w:rsid w:val="00127A07"/>
    <w:pPr>
      <w:keepNext/>
      <w:outlineLvl w:val="0"/>
    </w:pPr>
    <w:rPr>
      <w:u w:val="single"/>
    </w:rPr>
  </w:style>
  <w:style w:type="paragraph" w:styleId="Heading6">
    <w:name w:val="heading 6"/>
    <w:basedOn w:val="Normal"/>
    <w:next w:val="Normal"/>
    <w:qFormat/>
    <w:rsid w:val="00127A07"/>
    <w:pPr>
      <w:keepNext/>
      <w:outlineLvl w:val="5"/>
    </w:pPr>
    <w:rPr>
      <w:rFonts w:ascii="Garamond" w:hAnsi="Garamond"/>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6641D"/>
    <w:pPr>
      <w:tabs>
        <w:tab w:val="center" w:pos="4513"/>
        <w:tab w:val="right" w:pos="9026"/>
      </w:tabs>
    </w:pPr>
  </w:style>
  <w:style w:type="character" w:customStyle="1" w:styleId="HeaderChar">
    <w:name w:val="Header Char"/>
    <w:link w:val="Header"/>
    <w:uiPriority w:val="99"/>
    <w:rsid w:val="00A6641D"/>
    <w:rPr>
      <w:sz w:val="24"/>
      <w:szCs w:val="24"/>
    </w:rPr>
  </w:style>
  <w:style w:type="paragraph" w:styleId="Footer">
    <w:name w:val="footer"/>
    <w:basedOn w:val="Normal"/>
    <w:link w:val="FooterChar"/>
    <w:uiPriority w:val="99"/>
    <w:unhideWhenUsed/>
    <w:rsid w:val="00A6641D"/>
    <w:pPr>
      <w:tabs>
        <w:tab w:val="center" w:pos="4513"/>
        <w:tab w:val="right" w:pos="9026"/>
      </w:tabs>
    </w:pPr>
  </w:style>
  <w:style w:type="character" w:customStyle="1" w:styleId="FooterChar">
    <w:name w:val="Footer Char"/>
    <w:link w:val="Footer"/>
    <w:uiPriority w:val="99"/>
    <w:rsid w:val="00A6641D"/>
    <w:rPr>
      <w:sz w:val="24"/>
      <w:szCs w:val="24"/>
    </w:rPr>
  </w:style>
  <w:style w:type="paragraph" w:customStyle="1" w:styleId="Text">
    <w:name w:val="Text"/>
    <w:basedOn w:val="Normal"/>
    <w:autoRedefine/>
    <w:rsid w:val="00A6641D"/>
    <w:pPr>
      <w:keepNext/>
      <w:widowControl w:val="0"/>
      <w:kinsoku w:val="0"/>
      <w:overflowPunct w:val="0"/>
      <w:textAlignment w:val="baseline"/>
    </w:pPr>
    <w:rPr>
      <w:rFonts w:ascii="Trebuchet MS" w:hAnsi="Trebuchet MS"/>
      <w:lang w:val="en-US"/>
    </w:rPr>
  </w:style>
  <w:style w:type="paragraph" w:styleId="FootnoteText">
    <w:name w:val="footnote text"/>
    <w:basedOn w:val="Normal"/>
    <w:link w:val="FootnoteTextChar"/>
    <w:uiPriority w:val="99"/>
    <w:semiHidden/>
    <w:unhideWhenUsed/>
    <w:rsid w:val="005168E0"/>
    <w:rPr>
      <w:sz w:val="20"/>
      <w:szCs w:val="20"/>
    </w:rPr>
  </w:style>
  <w:style w:type="character" w:customStyle="1" w:styleId="FootnoteTextChar">
    <w:name w:val="Footnote Text Char"/>
    <w:basedOn w:val="DefaultParagraphFont"/>
    <w:link w:val="FootnoteText"/>
    <w:uiPriority w:val="99"/>
    <w:semiHidden/>
    <w:rsid w:val="005168E0"/>
  </w:style>
  <w:style w:type="character" w:styleId="FootnoteReference">
    <w:name w:val="footnote reference"/>
    <w:uiPriority w:val="99"/>
    <w:semiHidden/>
    <w:unhideWhenUsed/>
    <w:rsid w:val="005168E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4</Pages>
  <Words>1761</Words>
  <Characters>10044</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lpstr>
    </vt:vector>
  </TitlesOfParts>
  <Company/>
  <LinksUpToDate>false</LinksUpToDate>
  <CharactersWithSpaces>11782</CharactersWithSpaces>
  <SharedDoc>false</SharedDoc>
  <HLinks>
    <vt:vector size="6" baseType="variant">
      <vt:variant>
        <vt:i4>720908</vt:i4>
      </vt:variant>
      <vt:variant>
        <vt:i4>1537</vt:i4>
      </vt:variant>
      <vt:variant>
        <vt:i4>1025</vt:i4>
      </vt:variant>
      <vt:variant>
        <vt:i4>1</vt:i4>
      </vt:variant>
      <vt:variant>
        <vt:lpwstr>frankrgb</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Michael Lacewing</dc:creator>
  <cp:keywords/>
  <cp:lastModifiedBy>Michael Lacewing</cp:lastModifiedBy>
  <cp:revision>4</cp:revision>
  <dcterms:created xsi:type="dcterms:W3CDTF">2018-04-13T19:24:00Z</dcterms:created>
  <dcterms:modified xsi:type="dcterms:W3CDTF">2018-04-13T19:54:00Z</dcterms:modified>
</cp:coreProperties>
</file>