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6025" w:rsidRPr="004074C4" w:rsidRDefault="00C16025" w:rsidP="00D74EB0">
      <w:pPr>
        <w:pStyle w:val="Text"/>
        <w:jc w:val="center"/>
        <w:rPr>
          <w:rFonts w:ascii="Trebuchet MS" w:hAnsi="Trebuchet MS"/>
          <w:b/>
          <w:sz w:val="28"/>
          <w:szCs w:val="28"/>
        </w:rPr>
      </w:pPr>
      <w:bookmarkStart w:id="0" w:name="_GoBack"/>
      <w:bookmarkEnd w:id="0"/>
      <w:r w:rsidRPr="004074C4">
        <w:rPr>
          <w:rFonts w:ascii="Trebuchet MS" w:hAnsi="Trebuchet MS"/>
          <w:b/>
          <w:sz w:val="28"/>
          <w:szCs w:val="28"/>
        </w:rPr>
        <w:t>How can we tell right from wrong?</w:t>
      </w:r>
      <w:r w:rsidR="004074C4">
        <w:rPr>
          <w:rStyle w:val="FootnoteReference"/>
          <w:rFonts w:ascii="Trebuchet MS" w:hAnsi="Trebuchet MS"/>
          <w:b/>
          <w:sz w:val="28"/>
          <w:szCs w:val="28"/>
        </w:rPr>
        <w:footnoteReference w:id="1"/>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How do we know whether a particular action is ethically right or wrong, good or bad? I’m going to assume that whether an action is good or bad etc. is something we can enquire into. In other words, ‘is this action good?’ has an answer which we need to try to discover. It isn’t completely subjective, and we can make mistakes in what we think. Even if you don’t think this is correct ‘metaphysically’ speaking, it is the approach we all appear to take in our own lives, personally. We find ourselves facing challenging situations from time to time – abortion, lying, questions of loyalty and responsibility, sexual temptation, and so on – and we ask ourselves ‘what should I do?’. The answer ‘do whatever you want – because ethics is subjective’ doesn’t capture our experience of conflict, and the desire to ‘get it right’. From this first-person perspective, our question has relevance: how do we know what is right?</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Of course, it is not only in deliberation – about thinking what to do ourselves – that the question applies. We also commonly hold views on what other people do, whether we experience these actions ourselves or only hear about them, from thinking that a particular murder we read about in the news is wrong to feeling offended by something someone says to us. My question, really, can be understood as asking how we know the ethical value (positive or negative) of an action, our own or others, actual (what has been done) or only considered as a possible option (what to do).</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b/>
          <w:caps/>
        </w:rPr>
      </w:pPr>
      <w:r w:rsidRPr="004074C4">
        <w:rPr>
          <w:rFonts w:ascii="Trebuchet MS" w:hAnsi="Trebuchet MS"/>
          <w:b/>
          <w:caps/>
        </w:rPr>
        <w:t>1. Starting with Aristotle</w:t>
      </w:r>
    </w:p>
    <w:p w:rsidR="00D74EB0" w:rsidRPr="004074C4" w:rsidRDefault="00D74EB0" w:rsidP="00D74EB0">
      <w:pPr>
        <w:pStyle w:val="Text"/>
        <w:rPr>
          <w:rFonts w:ascii="Trebuchet MS" w:hAnsi="Trebuchet MS"/>
        </w:rPr>
      </w:pPr>
      <w:r w:rsidRPr="004074C4">
        <w:rPr>
          <w:rFonts w:ascii="Trebuchet MS" w:hAnsi="Trebuchet MS"/>
        </w:rPr>
        <w:t xml:space="preserve">Aristotle calls our ability to know right from wrong ‘practical wisdom’. He thinks of it as a multi-faceted ability, which includes four components: </w:t>
      </w:r>
    </w:p>
    <w:p w:rsidR="00D74EB0" w:rsidRPr="004074C4" w:rsidRDefault="00D74EB0" w:rsidP="00D74EB0">
      <w:pPr>
        <w:pStyle w:val="Text"/>
        <w:rPr>
          <w:rFonts w:ascii="Trebuchet MS" w:hAnsi="Trebuchet MS"/>
        </w:rPr>
      </w:pPr>
    </w:p>
    <w:p w:rsidR="00D74EB0" w:rsidRPr="004074C4" w:rsidRDefault="00D74EB0" w:rsidP="00D74EB0">
      <w:pPr>
        <w:pStyle w:val="Text"/>
        <w:numPr>
          <w:ilvl w:val="0"/>
          <w:numId w:val="1"/>
        </w:numPr>
        <w:tabs>
          <w:tab w:val="clear" w:pos="720"/>
        </w:tabs>
        <w:ind w:left="360"/>
        <w:rPr>
          <w:rFonts w:ascii="Trebuchet MS" w:hAnsi="Trebuchet MS"/>
        </w:rPr>
      </w:pPr>
      <w:r w:rsidRPr="004074C4">
        <w:rPr>
          <w:rFonts w:ascii="Trebuchet MS" w:hAnsi="Trebuchet MS"/>
        </w:rPr>
        <w:t xml:space="preserve">general ideas of what is good or bad, which Aristotle relates to the conditions for human flourishing; </w:t>
      </w:r>
    </w:p>
    <w:p w:rsidR="00D74EB0" w:rsidRPr="004074C4" w:rsidRDefault="00D74EB0" w:rsidP="00D74EB0">
      <w:pPr>
        <w:pStyle w:val="Text"/>
        <w:numPr>
          <w:ilvl w:val="0"/>
          <w:numId w:val="1"/>
        </w:numPr>
        <w:tabs>
          <w:tab w:val="clear" w:pos="720"/>
        </w:tabs>
        <w:ind w:left="360"/>
        <w:rPr>
          <w:rFonts w:ascii="Trebuchet MS" w:hAnsi="Trebuchet MS"/>
        </w:rPr>
      </w:pPr>
      <w:r w:rsidRPr="004074C4">
        <w:rPr>
          <w:rFonts w:ascii="Trebuchet MS" w:hAnsi="Trebuchet MS"/>
        </w:rPr>
        <w:t xml:space="preserve">the ability to perceive, in light of that general understanding of the good, what is required in a particular situation, how we should react emotionally and what we should do; </w:t>
      </w:r>
    </w:p>
    <w:p w:rsidR="00D74EB0" w:rsidRPr="004074C4" w:rsidRDefault="00D74EB0" w:rsidP="00D74EB0">
      <w:pPr>
        <w:pStyle w:val="Text"/>
        <w:numPr>
          <w:ilvl w:val="0"/>
          <w:numId w:val="1"/>
        </w:numPr>
        <w:tabs>
          <w:tab w:val="clear" w:pos="720"/>
        </w:tabs>
        <w:ind w:left="360"/>
        <w:rPr>
          <w:rFonts w:ascii="Trebuchet MS" w:hAnsi="Trebuchet MS"/>
        </w:rPr>
      </w:pPr>
      <w:r w:rsidRPr="004074C4">
        <w:rPr>
          <w:rFonts w:ascii="Trebuchet MS" w:hAnsi="Trebuchet MS"/>
        </w:rPr>
        <w:t xml:space="preserve">the ability to deliberate well; and </w:t>
      </w:r>
    </w:p>
    <w:p w:rsidR="00D74EB0" w:rsidRPr="004074C4" w:rsidRDefault="00D74EB0" w:rsidP="00D74EB0">
      <w:pPr>
        <w:pStyle w:val="Text"/>
        <w:numPr>
          <w:ilvl w:val="0"/>
          <w:numId w:val="1"/>
        </w:numPr>
        <w:tabs>
          <w:tab w:val="clear" w:pos="720"/>
        </w:tabs>
        <w:ind w:left="360"/>
        <w:rPr>
          <w:rFonts w:ascii="Trebuchet MS" w:hAnsi="Trebuchet MS"/>
        </w:rPr>
      </w:pPr>
      <w:r w:rsidRPr="004074C4">
        <w:rPr>
          <w:rFonts w:ascii="Trebuchet MS" w:hAnsi="Trebuchet MS"/>
        </w:rPr>
        <w:t>the ability to act on that deliberation.</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 xml:space="preserve">We just want to know how we </w:t>
      </w:r>
      <w:r w:rsidRPr="004074C4">
        <w:rPr>
          <w:rFonts w:ascii="Trebuchet MS" w:hAnsi="Trebuchet MS"/>
          <w:i/>
        </w:rPr>
        <w:t>know</w:t>
      </w:r>
      <w:r w:rsidRPr="004074C4">
        <w:rPr>
          <w:rFonts w:ascii="Trebuchet MS" w:hAnsi="Trebuchet MS"/>
        </w:rPr>
        <w:t xml:space="preserve"> whether an action is good or right, so let’s set aside (4). And since the question faces us most acutely in particular situations in actual life – that’s when we really need the knowledge of what is good or right – I shall focus primarily on (2). Take the example of being asked to lie for a friend. How do I know what the right thing to do is, in </w:t>
      </w:r>
      <w:r w:rsidRPr="004074C4">
        <w:rPr>
          <w:rFonts w:ascii="Trebuchet MS" w:hAnsi="Trebuchet MS"/>
          <w:i/>
        </w:rPr>
        <w:t>this</w:t>
      </w:r>
      <w:r w:rsidRPr="004074C4">
        <w:rPr>
          <w:rFonts w:ascii="Trebuchet MS" w:hAnsi="Trebuchet MS"/>
        </w:rPr>
        <w:t xml:space="preserve"> situation (not in general, or on other occasions), in the context of </w:t>
      </w:r>
      <w:r w:rsidRPr="004074C4">
        <w:rPr>
          <w:rFonts w:ascii="Trebuchet MS" w:hAnsi="Trebuchet MS"/>
          <w:i/>
        </w:rPr>
        <w:t>this</w:t>
      </w:r>
      <w:r w:rsidRPr="004074C4">
        <w:rPr>
          <w:rFonts w:ascii="Trebuchet MS" w:hAnsi="Trebuchet MS"/>
        </w:rPr>
        <w:t xml:space="preserve"> lie and </w:t>
      </w:r>
      <w:r w:rsidRPr="004074C4">
        <w:rPr>
          <w:rFonts w:ascii="Trebuchet MS" w:hAnsi="Trebuchet MS"/>
          <w:i/>
        </w:rPr>
        <w:t>this</w:t>
      </w:r>
      <w:r w:rsidRPr="004074C4">
        <w:rPr>
          <w:rFonts w:ascii="Trebuchet MS" w:hAnsi="Trebuchet MS"/>
        </w:rPr>
        <w:t xml:space="preserve"> friendship?</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 xml:space="preserve">Some people believe that ethics is all about universal rules that apply, without exception, across all situations. The relevant rule here would be ‘Don’t lie’. I think this understanding of ethics is much too simple, and very quickly we get into </w:t>
      </w:r>
      <w:r w:rsidRPr="004074C4">
        <w:rPr>
          <w:rFonts w:ascii="Trebuchet MS" w:hAnsi="Trebuchet MS"/>
        </w:rPr>
        <w:lastRenderedPageBreak/>
        <w:t xml:space="preserve">talking about white lies, statements that are, strictly speaking, true but deliberately misleading, and so on. (Aren’t you pleased to see Great Aunt Agatha? What should you say?) Even if it were true that we should never tell lies, and even if there were simple, universal rules about when something counts as a lie, then in this situation, with my friend, perhaps I know I shouldn’t lie, but then what </w:t>
      </w:r>
      <w:r w:rsidRPr="004074C4">
        <w:rPr>
          <w:rFonts w:ascii="Trebuchet MS" w:hAnsi="Trebuchet MS"/>
          <w:i/>
        </w:rPr>
        <w:t>should</w:t>
      </w:r>
      <w:r w:rsidRPr="004074C4">
        <w:rPr>
          <w:rFonts w:ascii="Trebuchet MS" w:hAnsi="Trebuchet MS"/>
        </w:rPr>
        <w:t xml:space="preserve"> I do? What do I need to do to preserve the friendship and help my friend? A universal rule won’t help me here.</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Granted that we have general knowledge about what is good or bad, we have to ‘perceive’ what each situation requires (and even Kant, who is famous for talking about universal rules, thinks that there are no rules that help you apply the rules to particular situations!). The question that faces us on any occasion is how to achieve what is good – part of a good life – in the here and now, in this situation. But there are no rules for applying knowledge of the good life to the current situation. This makes it impossible to make true generalizations – ones that will hold in all cases – about right and wrong, good and bad. We need to be sensitive to the particular facts involved in the particular case. This does not make ethics subjective, as there is a truth of the matter to be discovered. However, you may not be able to reach that truth by argument alone. If you are blind, I may not be able to convince you of the colour of moonlight; if I lack insight into what is good, you may not be able to convince me of the goodness of being kind. Furthermore, we must not only understand the situation, but also how to act well in it. So, we need to recognise a situation as calling for some kind of response, we need to understand what is at stake, and we need to consider what action to take in response.</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Let’s assume this picture is right. Can we say more about what this form of knowledge amounts to?</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b/>
          <w:caps/>
        </w:rPr>
      </w:pPr>
      <w:r w:rsidRPr="004074C4">
        <w:rPr>
          <w:rFonts w:ascii="Trebuchet MS" w:hAnsi="Trebuchet MS"/>
          <w:b/>
          <w:caps/>
        </w:rPr>
        <w:t>2. The role of emotions</w:t>
      </w:r>
    </w:p>
    <w:p w:rsidR="00D74EB0" w:rsidRPr="004074C4" w:rsidRDefault="00D74EB0" w:rsidP="00D74EB0">
      <w:pPr>
        <w:pStyle w:val="Text"/>
        <w:rPr>
          <w:rFonts w:ascii="Trebuchet MS" w:hAnsi="Trebuchet MS"/>
        </w:rPr>
      </w:pPr>
      <w:r w:rsidRPr="004074C4">
        <w:rPr>
          <w:rFonts w:ascii="Trebuchet MS" w:hAnsi="Trebuchet MS"/>
        </w:rPr>
        <w:t xml:space="preserve">One way of putting the question is in terms of reasons. How do we discover what reasons we have to react, choose, and act in particular ways? How can I tell that your remark gives me reason for anger, that her situation gives me reason to be generous, or whether the reasons to lie when I am asked by a friend are outweighed by reasons not to lie? Undoubtedly, standard forms of reasoning – such as correcting mistakes of fact and obvious inconsistencies, and finding means-end solutions – have an important role to play. But many philosophers have recently come to accept – again, following Aristotle’s lead – that our emotions are central to this. Emotions are sensitive to the ways in which features of the world can give us reasons – the dangerousness of the snarling dog (fear), the offensiveness of the remark (anger), the importance of something we have lost (sadness) or may lose (anxiety), and so on. Some philosophers have argued that what it </w:t>
      </w:r>
      <w:r w:rsidRPr="004074C4">
        <w:rPr>
          <w:rFonts w:ascii="Trebuchet MS" w:hAnsi="Trebuchet MS"/>
          <w:i/>
        </w:rPr>
        <w:t>is</w:t>
      </w:r>
      <w:r w:rsidRPr="004074C4">
        <w:rPr>
          <w:rFonts w:ascii="Trebuchet MS" w:hAnsi="Trebuchet MS"/>
        </w:rPr>
        <w:t xml:space="preserve"> for something to be good or bad in these various ways is for it to ‘merit’ the relevant emotional response – so there is a conceptual connection between values, reasons, and emotions.</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 xml:space="preserve">In the last twenty years, empirical psychology has lent considerable support to the view that emotions are central to our evaluations. The neuroscientist Antonio Damasio argues that when we deliberate about what to do, many images, deriving from the situation we are in and relating to possible actions and their </w:t>
      </w:r>
      <w:r w:rsidRPr="004074C4">
        <w:rPr>
          <w:rFonts w:ascii="Trebuchet MS" w:hAnsi="Trebuchet MS"/>
        </w:rPr>
        <w:lastRenderedPageBreak/>
        <w:t>consequences, flash through our minds, often too quickly for us to be conscious of them all. These imaginary scenarios are accompanied by feelings; when a ‘bad’ possible outcome to the situation comes to mind, it is marked by a feeling embodying this evaluative response. Feelings help guide our processes of evaluation and deliberation by provide information we may otherwise miss (e.g. feeling suspicious of someone, but you don’t quite know why) and by directing our attention away from some options towards others. In developing his theory, Damasio draws on his work with individuals suffering from brain damage which has seriously impeded their emotional capacities, although their formal reasoning capacities are intact. Because they can’t draw upon any emotional responses, they find it incredibly difficult to come to a decision, taking much longer to do so, and typically choosing much more poorly. One such individual was Elliot. Elliot was always controlled, describing situations as a dispassionate spectator, not because he inhibited his emotional responses, but because he had none. If he was presented with hypothetical ethical dilemmas, his judgments followed the general principles many of us share. But in real life, he was disastrous at making decisions.</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The moral psychologist Jonathan Haidt pulls Damasio’s neurological evidence together with evidence taken from social and cognitive psychology to argue that our moral judgments are (usually) ‘intuitive’, rather than the product of conscious reasoning, and that our emotions are closely tied up with the intuitive process by which we reach our views. In addition to familiar, controlled, conscious processes of recognising, deliberating about, and responding to social situations, there are automatic, typically non-conscious, often emotionally-charged, processes that influence our thoughts and behaviour. He points out that our moral intuitions are very quick, unlike conscious reasoning; that psychopaths, who lack a strong moral sense, also suffer from emotional deficiencies; that moral emotional responses emerge earlier in childhood that sophisticated abilities to reason; that manipulating people’s emotions can lead to changing their moral judgments; that there are cases in which people know what they think is right or wrong, such as disapproving of incest between brother and sister, but find it very difficult to say why; and that there is evidence that moral reasoning is often motivated, i.e. responsive to our emotions and desires, rather than leading them.</w:t>
      </w:r>
    </w:p>
    <w:p w:rsidR="00D74EB0" w:rsidRPr="004074C4" w:rsidRDefault="00D74EB0" w:rsidP="00D74EB0">
      <w:pPr>
        <w:pStyle w:val="Text"/>
        <w:rPr>
          <w:rFonts w:ascii="Trebuchet MS" w:hAnsi="Trebuchet MS"/>
        </w:rPr>
      </w:pPr>
    </w:p>
    <w:p w:rsidR="00D74EB0" w:rsidRPr="004074C4" w:rsidRDefault="00D74EB0" w:rsidP="00D74EB0">
      <w:pPr>
        <w:pStyle w:val="Text"/>
        <w:rPr>
          <w:rFonts w:ascii="Trebuchet MS" w:hAnsi="Trebuchet MS"/>
        </w:rPr>
      </w:pPr>
      <w:r w:rsidRPr="004074C4">
        <w:rPr>
          <w:rFonts w:ascii="Trebuchet MS" w:hAnsi="Trebuchet MS"/>
        </w:rPr>
        <w:t>So, if this is all correct, our emotions are at least a very important source of our intuitions about what we have reason to do. That means that it is important, in being able to tell right from wrong, that we have the right emotional responses. The emotional responses that are relevant here are not only our immediate responses to a situation, but our responses in deliberation when we reflect on the situation and possible courses of action. The development of our ability to tell right from wrong in particular cases involves a refinement of our emotions.</w:t>
      </w:r>
    </w:p>
    <w:p w:rsidR="00D74EB0" w:rsidRPr="004074C4" w:rsidRDefault="00D74EB0" w:rsidP="00D74EB0">
      <w:pPr>
        <w:rPr>
          <w:rFonts w:ascii="Trebuchet MS" w:hAnsi="Trebuchet MS"/>
        </w:rPr>
      </w:pPr>
    </w:p>
    <w:p w:rsidR="00D74EB0" w:rsidRPr="004074C4" w:rsidRDefault="00D74EB0" w:rsidP="004074C4">
      <w:pPr>
        <w:pStyle w:val="Text"/>
        <w:rPr>
          <w:rFonts w:ascii="Trebuchet MS" w:hAnsi="Trebuchet MS"/>
          <w:b/>
          <w:caps/>
        </w:rPr>
      </w:pPr>
      <w:r w:rsidRPr="004074C4">
        <w:rPr>
          <w:rFonts w:ascii="Trebuchet MS" w:hAnsi="Trebuchet MS"/>
          <w:b/>
          <w:caps/>
        </w:rPr>
        <w:t>3. Misleading emotions</w:t>
      </w:r>
    </w:p>
    <w:p w:rsidR="00D74EB0" w:rsidRPr="004074C4" w:rsidRDefault="00D74EB0" w:rsidP="00D74EB0">
      <w:pPr>
        <w:rPr>
          <w:rFonts w:ascii="Trebuchet MS" w:hAnsi="Trebuchet MS"/>
        </w:rPr>
      </w:pPr>
      <w:r w:rsidRPr="004074C4">
        <w:rPr>
          <w:rFonts w:ascii="Trebuchet MS" w:hAnsi="Trebuchet MS"/>
        </w:rPr>
        <w:t xml:space="preserve">It is a common objection to relying on emotions in ethics that they are not always appropriate and may mislead us regarding what we have reason to feel, want, and do. The problem is made more complex by the fact that it is not always easy to recognise when our emotions are misleading. When we feel jealous, for instance, we suspect every little thing – an unreturned phone call, a smudge on a shirt – of as evidence of intimacy with someone else, when of course, they are nothing of </w:t>
      </w:r>
      <w:r w:rsidRPr="004074C4">
        <w:rPr>
          <w:rFonts w:ascii="Trebuchet MS" w:hAnsi="Trebuchet MS"/>
        </w:rPr>
        <w:lastRenderedPageBreak/>
        <w:t>the sort. If emotions do play such a central role in ethical knowledge, how do we deal with this?</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 xml:space="preserve">A traditional model cuts through the problem: in our calmer moments, we come to understand what is going on, and so understand the influence the misleading emotion exerts upon us. We come to understand what seems to be right or good from the perspective of the emotion and then evaluate this claim rationally. The problem is that this diagnosis assumes that our emotions are ‘transparent’ to us. This idea needs clarification. When we respond emotionally, we seek to understand ourselves; above all, to understand the vision of the world the emotion presents. To what are we responding, and how is that object presented? What are the reasons for the response? What explains the emotion’s intensity, or its being caused now rather than on another, similar occasion? And so on. We look for a ‘sufficient explanation’, either showing how our response and the way in which it represents the world is appropriate, timely, proportionate, and so on; or explaining why it was inappropriate or disproportionate, e.g. as a result of a particular bad mood, or a sequence of events that finally proved too much to bear. Now if we were able, simply upon self-reflection, to provide such a sufficient explanation that correctly identified the meaning of the emotion, the emotions would be transparent. </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Furthermore, we believe, often rightly, that if we understand why we react as we do, this gives us some control over the emotion. Our emotions clearly respond to reasons (if someone explains why their remark was not meant as you took it, often you calm down); a reasoned account of the object and reasons for the emotion should therefore alter it if necessary.</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 xml:space="preserve">But there is good reason to believe that emotions are not transparent. We are unable to supply complete and accurate accounts of the meaning of our emotions – their object, content, intensity, cause, timing, or vision of the good – simply through self-reflection. Emotions are therefore </w:t>
      </w:r>
      <w:r w:rsidRPr="004074C4">
        <w:rPr>
          <w:rFonts w:ascii="Trebuchet MS" w:hAnsi="Trebuchet MS"/>
          <w:i/>
        </w:rPr>
        <w:t>opaque</w:t>
      </w:r>
      <w:r w:rsidRPr="004074C4">
        <w:rPr>
          <w:rFonts w:ascii="Trebuchet MS" w:hAnsi="Trebuchet MS"/>
        </w:rPr>
        <w:t xml:space="preserve">. And because they are opaque, there are also </w:t>
      </w:r>
      <w:r w:rsidRPr="004074C4">
        <w:rPr>
          <w:rFonts w:ascii="Trebuchet MS" w:hAnsi="Trebuchet MS"/>
          <w:i/>
        </w:rPr>
        <w:t>recalcitrant</w:t>
      </w:r>
      <w:r w:rsidRPr="004074C4">
        <w:rPr>
          <w:rFonts w:ascii="Trebuchet MS" w:hAnsi="Trebuchet MS"/>
        </w:rPr>
        <w:t xml:space="preserve">. They cannot be brought into line by rational reflection upon them. One important reason for this, which is also central to how and when our emotions can be misleading, is the existence and prevalence of psychological ‘defence mechanisms’. </w:t>
      </w:r>
    </w:p>
    <w:p w:rsidR="00D74EB0" w:rsidRPr="004074C4" w:rsidRDefault="00D74EB0" w:rsidP="00D74EB0">
      <w:pPr>
        <w:rPr>
          <w:rFonts w:ascii="Trebuchet MS" w:hAnsi="Trebuchet MS"/>
        </w:rPr>
      </w:pPr>
    </w:p>
    <w:p w:rsidR="00D74EB0" w:rsidRPr="004074C4" w:rsidRDefault="00D74EB0" w:rsidP="004074C4">
      <w:pPr>
        <w:pStyle w:val="Text"/>
        <w:rPr>
          <w:rFonts w:ascii="Trebuchet MS" w:hAnsi="Trebuchet MS"/>
          <w:b/>
          <w:caps/>
        </w:rPr>
      </w:pPr>
      <w:r w:rsidRPr="004074C4">
        <w:rPr>
          <w:rFonts w:ascii="Trebuchet MS" w:hAnsi="Trebuchet MS"/>
          <w:b/>
          <w:caps/>
        </w:rPr>
        <w:t>4. Defence mechanisms</w:t>
      </w:r>
    </w:p>
    <w:p w:rsidR="00D74EB0" w:rsidRPr="004074C4" w:rsidRDefault="00D74EB0" w:rsidP="00D74EB0">
      <w:pPr>
        <w:rPr>
          <w:rFonts w:ascii="Trebuchet MS" w:hAnsi="Trebuchet MS"/>
        </w:rPr>
      </w:pPr>
      <w:r w:rsidRPr="004074C4">
        <w:rPr>
          <w:rFonts w:ascii="Trebuchet MS" w:hAnsi="Trebuchet MS"/>
        </w:rPr>
        <w:t xml:space="preserve">Defence mechanisms utilise unconscious mental processes that change what we think and experience so as to reduce or eliminate anxiety and other painful feelings (such as guilt, shame, and envy), especially when connected to self-esteem. They function both to protect us from excessive anxiety and to protect the integration of the self. Examples include denial, repression, projection, and intellectualization. </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 xml:space="preserve">Defence mechanisms are unconscious and unintended, but they change how we understand and experience ourselves, our emotions and thoughts, others, and the social world. They are entirely necessary in psychological development and can be age-appropriate, e.g. the use of denial at age 3. (My son wanted to play outside; I pointed out that we couldn’t right now, because it was raining. He looked out the window and said ‘No, it isn’t’.) They may also be adaptive in adulthood, e.g. </w:t>
      </w:r>
      <w:r w:rsidRPr="004074C4">
        <w:rPr>
          <w:rFonts w:ascii="Trebuchet MS" w:hAnsi="Trebuchet MS"/>
        </w:rPr>
        <w:lastRenderedPageBreak/>
        <w:t>isolation (cutting oneself off from one’s feelings) in professional settings, and will be needed whenever we cannot bear a conflictual situation or when we experience sudden change – a clear example is their use in the grieving process (the first three of the ‘five stages of grief’ – denial, anger, and bargaining – involve a variety of defences). As defence is necessary and adaptive during psychological development, we all use defences in childhood and adolescence. But most of us use defences throughout adulthood as well, and their use increases in conditions of stress and when our self-esteem is at issue. In many morally challenging situations, both these conditions may apply.</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Consider a case of abortion. On Aristotle’s approach, it is unlikely that there will be a universal rule saying that abortion is always right or always wrong. Many contextual factors will be relevant. The philosopher Rosalind Hursthouse discusses the example of a woman who considers whether to have an abortion, and concludes that she should. Quite apart from the question of her right to an abortion, Hursthouse notes that the decision may be callous or light-minded or selfish or self-righteous or disloyal or…, depending on the woman and the emotions surrounding her decision. The woman may well not recognise this nor some of her emotions that make the decision what it is. If we think of the topics which commonly arouse strong and difficult feelings among people, we can see that many of them are likely to be at play when considering abortion: the value and nature of human life, death, parenthood, family, and sex. Abortion is a topic that, even in the abstract, let alone when we face it as a personal issue, we can expect to arouse defence mechanisms. But we cannot, for the reasons we’ve already discussed, suggest that we would be better off trying to make the decision completely emotion-free (which may itself just be the defence mechanism of isolation or intellectualisation at play).</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 xml:space="preserve">Another example: </w:t>
      </w:r>
      <w:r w:rsidRPr="004074C4">
        <w:rPr>
          <w:rFonts w:ascii="Trebuchet MS" w:hAnsi="Trebuchet MS" w:cs="Helvetica"/>
        </w:rPr>
        <w:t>the psychoanalyst Alessandra Lemma points out that, in telling a lie, the liar creates the illusion that he can control what the person lied to thinks. One emotion that this may express, consciously or unconsciously, is triumph over an adversary; it expresses a desire to control and humiliate the other person, perhaps in an attempt to ‘reverse’ an earlier experience of humiliation. If this is so, the liar may well be unaware of this emotion and desire, because his own, earlier humiliation is painful. The lying may form part of a defence against experiencing that pain (e.g. through projection: ‘it’s not me that is humiliated, but him’). This will undoubtedly affect the liar’s sense of when lying is justified and when it isn’t, and perhaps more generally, the reasons why we should treat others with respect.</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When our emotions are influenced by defence mechanisms – which we may not know, because they work unconsciously – we misunderstand what we feel and why (opacity). We will also misunderstand the nature of the situation to which we are responding, and so we’ll misunderstand the reasons the situation actually gives us to feel and act differently (error).</w:t>
      </w:r>
    </w:p>
    <w:p w:rsidR="00D74EB0" w:rsidRPr="004074C4" w:rsidRDefault="00D74EB0" w:rsidP="00D74EB0">
      <w:pPr>
        <w:rPr>
          <w:rFonts w:ascii="Trebuchet MS" w:hAnsi="Trebuchet MS"/>
        </w:rPr>
      </w:pPr>
    </w:p>
    <w:p w:rsidR="00D74EB0" w:rsidRPr="004074C4" w:rsidRDefault="00D74EB0" w:rsidP="004074C4">
      <w:pPr>
        <w:pStyle w:val="Text"/>
        <w:rPr>
          <w:rFonts w:ascii="Trebuchet MS" w:hAnsi="Trebuchet MS"/>
          <w:b/>
          <w:caps/>
        </w:rPr>
      </w:pPr>
      <w:r w:rsidRPr="004074C4">
        <w:rPr>
          <w:rFonts w:ascii="Trebuchet MS" w:hAnsi="Trebuchet MS"/>
          <w:b/>
          <w:caps/>
        </w:rPr>
        <w:t>5. Deconstructing our defences: courage and love</w:t>
      </w:r>
    </w:p>
    <w:p w:rsidR="00D74EB0" w:rsidRPr="004074C4" w:rsidRDefault="00D74EB0" w:rsidP="00D74EB0">
      <w:pPr>
        <w:rPr>
          <w:rFonts w:ascii="Trebuchet MS" w:hAnsi="Trebuchet MS"/>
        </w:rPr>
      </w:pPr>
      <w:r w:rsidRPr="004074C4">
        <w:rPr>
          <w:rFonts w:ascii="Trebuchet MS" w:hAnsi="Trebuchet MS"/>
        </w:rPr>
        <w:t xml:space="preserve">I have argued that our emotions play a central role in our being able to tell right from wrong, good from bad. However, our emotions can be inappropriate and misleading. One reason for this is the operation of defence mechanisms, which can </w:t>
      </w:r>
      <w:r w:rsidRPr="004074C4">
        <w:rPr>
          <w:rFonts w:ascii="Trebuchet MS" w:hAnsi="Trebuchet MS"/>
        </w:rPr>
        <w:lastRenderedPageBreak/>
        <w:t>distort our understandings of ourselves and the situations we encounter, in the service of preventing psychological pain and of protecting our self-esteem. To improve our ability to gain ethical knowledge in particular situations, we need to improve our emotional responses, so that they become more appropriate. To do this, we will need to engage with our defences.</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 xml:space="preserve">There are two means by which we may begin to uncover and then deconstruct our defences, to the extent that this is possible. The first involves developing a greater openness to moments of anxiety and other distressing mental states, so that we detect their hints when they occur. Because defences are protections against such states, these painful states are ‘in the offing’ when defences are activated. With difficulty, practice, and the virtues indicated below, for some of our defences at least, we can, </w:t>
      </w:r>
      <w:r w:rsidRPr="004074C4">
        <w:rPr>
          <w:rFonts w:ascii="Trebuchet MS" w:hAnsi="Trebuchet MS"/>
          <w:i/>
        </w:rPr>
        <w:t>on occasion</w:t>
      </w:r>
      <w:r w:rsidRPr="004074C4">
        <w:rPr>
          <w:rFonts w:ascii="Trebuchet MS" w:hAnsi="Trebuchet MS"/>
        </w:rPr>
        <w:t>, ‘catch ourselves’. In contrast to directed introspection or reflection, this openness involves letting go of attempts to control or direct our immediate emotional responses, instead allowing them to ‘surface’. For this, we shall need courage, to face and experience the painful mental states which our defences protect us against. We often associate courage closely with strength of will and self-control, but what is required here involves allowing ourselves to feel our emotions, whatever they are, rather than attempting to control or direct them. The exercise of will lies in making and sustaining a commitment to this openness in the face of the pain it brings. We refuse to dismiss feelings that seem inappropriate or irrational in favour of an approach of understanding. Such openness normally needs supplementation by the second means, viz. close relationship and dialogue with others. If others are not themselves defensive at moments when we are, then they may see our defences for what they are.</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Very often, the mental states against which we defend ourselves are not intrinsically painful, but become painful because we evaluate them negatively. They are inappropriate, unacceptable, shameful, fearful, and so on. In short, they make us – we believe – less lovable or perhaps unlovable. Discovering their existence for a moment is far easier than integrating them into our sense of self. But deconstructing our defences is our aim here, for their continued activation will continue to distort our sense of our reasons and of ourselves in the future. The deconstruction of a defence requires a reconstruction of the self. We need, therefore, to take up a different approach to ourselves. Someone who only accepts in themselves what they can approve of conflates their real psychological self with their ideal self. But there is, in all of us, a gap here. Our defences are often responses to, and supported by, a false and idealized sense of ourselves. The pain against which they defend is caused by the clash between some mental state and our self-image. But it can be that our ideals are what need to change. We can’t assume that our ideals show us what reasons we really have any more than the painful emotion. We need to understand both the emotion and the ideal as expressions of ourselves; and with this, the gap between them often begins to close.</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 xml:space="preserve">This new approach to ourselves requires a form of self-love, since we fear that our emotions make us unlovable. If they do not, then we are able to more honest with ourselves about them. Compassion for ourselves – for our normal, human failings – enables us to tolerate the pain against which defences try to protect us without denying reality. Relationships with others can also provide the loving support </w:t>
      </w:r>
      <w:r w:rsidRPr="004074C4">
        <w:rPr>
          <w:rFonts w:ascii="Trebuchet MS" w:hAnsi="Trebuchet MS"/>
        </w:rPr>
        <w:lastRenderedPageBreak/>
        <w:t>needed here. Either way, this is transformative, as our emotions no longer threaten our sense of self, and we become able to experience and understand them. At this point, we are able to gain a clearer understanding of the particular situation we face, and so a better understanding of the best way to respond to it.</w:t>
      </w:r>
    </w:p>
    <w:p w:rsidR="00D74EB0" w:rsidRPr="004074C4" w:rsidRDefault="00D74EB0" w:rsidP="00D74EB0">
      <w:pPr>
        <w:rPr>
          <w:rFonts w:ascii="Trebuchet MS" w:hAnsi="Trebuchet MS"/>
        </w:rPr>
      </w:pPr>
    </w:p>
    <w:p w:rsidR="00D74EB0" w:rsidRPr="004074C4" w:rsidRDefault="00D74EB0" w:rsidP="00D74EB0">
      <w:pPr>
        <w:rPr>
          <w:rFonts w:ascii="Trebuchet MS" w:hAnsi="Trebuchet MS"/>
        </w:rPr>
      </w:pPr>
      <w:r w:rsidRPr="004074C4">
        <w:rPr>
          <w:rFonts w:ascii="Trebuchet MS" w:hAnsi="Trebuchet MS"/>
        </w:rPr>
        <w:t>In presenting this solution, I’ve defended a version of Aristotle’s claim that in order to know what is good, we need to become good. I’ve picked out two virtues – courage and love – as necessary conditions for developing a form of openness to ourselves. In order to tell right from wrong, we need to understand ourselves and our emotions. The perspective here is important, however: openness and self-enquiry accompany but cannot substitute for a concern for others and a fine discrimination of the situation facing one, and are in service to these goals. We have provided, therefore, only part of the answer to our question, but I think it is an important part, and one that is often overlooked.</w:t>
      </w:r>
    </w:p>
    <w:sectPr w:rsidR="00D74EB0" w:rsidRPr="004074C4" w:rsidSect="004074C4">
      <w:headerReference w:type="first" r:id="rId7"/>
      <w:pgSz w:w="11900" w:h="16840"/>
      <w:pgMar w:top="1440" w:right="1440" w:bottom="1440" w:left="1440" w:header="706" w:footer="706" w:gutter="0"/>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737C" w:rsidRDefault="00E1737C" w:rsidP="004074C4">
      <w:r>
        <w:separator/>
      </w:r>
    </w:p>
  </w:endnote>
  <w:endnote w:type="continuationSeparator" w:id="0">
    <w:p w:rsidR="00E1737C" w:rsidRDefault="00E1737C" w:rsidP="004074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E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737C" w:rsidRDefault="00E1737C" w:rsidP="004074C4">
      <w:r>
        <w:separator/>
      </w:r>
    </w:p>
  </w:footnote>
  <w:footnote w:type="continuationSeparator" w:id="0">
    <w:p w:rsidR="00E1737C" w:rsidRDefault="00E1737C" w:rsidP="004074C4">
      <w:r>
        <w:continuationSeparator/>
      </w:r>
    </w:p>
  </w:footnote>
  <w:footnote w:id="1">
    <w:p w:rsidR="004074C4" w:rsidRPr="004074C4" w:rsidRDefault="004074C4">
      <w:pPr>
        <w:pStyle w:val="FootnoteText"/>
      </w:pPr>
      <w:r>
        <w:rPr>
          <w:rStyle w:val="FootnoteReference"/>
        </w:rPr>
        <w:footnoteRef/>
      </w:r>
      <w:r>
        <w:t xml:space="preserve"> This article was originally published as Lacewing, M. (2012), ‘How can we tell right from wrong?’, </w:t>
      </w:r>
      <w:r>
        <w:rPr>
          <w:i/>
        </w:rPr>
        <w:t>Dialogue</w:t>
      </w:r>
      <w:r>
        <w:t>, 39, 38-42.</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074C4" w:rsidRDefault="004074C4" w:rsidP="004074C4">
    <w:pPr>
      <w:pStyle w:val="Header"/>
      <w:jc w:val="right"/>
    </w:pPr>
    <w:r>
      <w:t>© Michael Lacewing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D83A30"/>
    <w:multiLevelType w:val="hybridMultilevel"/>
    <w:tmpl w:val="FBBC0BA6"/>
    <w:lvl w:ilvl="0" w:tplc="000F0409">
      <w:start w:val="1"/>
      <w:numFmt w:val="decimal"/>
      <w:lvlText w:val="%1."/>
      <w:lvlJc w:val="left"/>
      <w:pPr>
        <w:tabs>
          <w:tab w:val="num" w:pos="720"/>
        </w:tabs>
        <w:ind w:left="720" w:hanging="360"/>
      </w:p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7"/>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oNotTrackMoves/>
  <w:defaultTabStop w:val="720"/>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E213BC"/>
    <w:rsid w:val="004074C4"/>
    <w:rsid w:val="0085152B"/>
    <w:rsid w:val="00C16025"/>
    <w:rsid w:val="00D74EB0"/>
    <w:rsid w:val="00DA474E"/>
    <w:rsid w:val="00E1737C"/>
  </w:rsids>
  <m:mathPr>
    <m:mathFont m:val="Cambria Math"/>
    <m:brkBin m:val="before"/>
    <m:brkBinSub m:val="--"/>
    <m:smallFrac m:val="0"/>
    <m:dispDef m:val="0"/>
    <m:lMargin m:val="0"/>
    <m:rMargin m:val="0"/>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5:chartTrackingRefBased/>
  <w15:docId w15:val="{026CFBED-DD95-1D4D-B411-BDC50EB577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Cambria" w:hAnsi="Cambria" w:cs="Times New Roman"/>
        <w:lang w:val="en-GB"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 Spacing" w:qFormat="1"/>
    <w:lsdException w:name="List Paragraph" w:qFormat="1"/>
    <w:lsdException w:name="Quote" w:qFormat="1"/>
    <w:lsdException w:name="Intense Quote" w:qFormat="1"/>
    <w:lsdException w:name="Colorful List Accent 1" w:uiPriority="34" w:qFormat="1"/>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482DB0"/>
    <w:rPr>
      <w:rFonts w:ascii="Garamond" w:hAnsi="Garamond"/>
      <w:sz w:val="24"/>
      <w:szCs w:val="24"/>
    </w:rPr>
  </w:style>
  <w:style w:type="paragraph" w:styleId="Heading1">
    <w:name w:val="heading 1"/>
    <w:basedOn w:val="Normal"/>
    <w:next w:val="Normal"/>
    <w:link w:val="Heading1Char"/>
    <w:qFormat/>
    <w:rsid w:val="00E213BC"/>
    <w:pPr>
      <w:keepNext/>
      <w:spacing w:before="240" w:after="60"/>
      <w:outlineLvl w:val="0"/>
    </w:pPr>
    <w:rPr>
      <w:rFonts w:ascii="Arial" w:eastAsia="Times New Roman" w:hAnsi="Arial"/>
      <w:b/>
      <w:caps/>
      <w:kern w:val="32"/>
      <w:szCs w:val="32"/>
    </w:rPr>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customStyle="1" w:styleId="Text">
    <w:name w:val="Text"/>
    <w:basedOn w:val="Normal"/>
    <w:autoRedefine/>
    <w:rsid w:val="00DA2233"/>
    <w:rPr>
      <w:rFonts w:eastAsia="Times New Roman"/>
    </w:rPr>
  </w:style>
  <w:style w:type="character" w:customStyle="1" w:styleId="Heading1Char">
    <w:name w:val="Heading 1 Char"/>
    <w:link w:val="Heading1"/>
    <w:rsid w:val="00E213BC"/>
    <w:rPr>
      <w:rFonts w:ascii="Arial" w:eastAsia="Times New Roman" w:hAnsi="Arial" w:cs="Times New Roman"/>
      <w:b/>
      <w:caps/>
      <w:kern w:val="32"/>
      <w:sz w:val="24"/>
      <w:szCs w:val="32"/>
    </w:rPr>
  </w:style>
  <w:style w:type="paragraph" w:styleId="EndnoteText">
    <w:name w:val="endnote text"/>
    <w:basedOn w:val="Normal"/>
    <w:link w:val="EndnoteTextChar"/>
    <w:rsid w:val="00EF676A"/>
    <w:rPr>
      <w:rFonts w:ascii="Times New Roman" w:eastAsia="Times New Roman" w:hAnsi="Times New Roman"/>
      <w:sz w:val="20"/>
      <w:szCs w:val="20"/>
    </w:rPr>
  </w:style>
  <w:style w:type="character" w:customStyle="1" w:styleId="EndnoteTextChar">
    <w:name w:val="Endnote Text Char"/>
    <w:link w:val="EndnoteText"/>
    <w:rsid w:val="00EF676A"/>
    <w:rPr>
      <w:rFonts w:ascii="Times New Roman" w:eastAsia="Times New Roman" w:hAnsi="Times New Roman" w:cs="Times New Roman"/>
      <w:sz w:val="20"/>
      <w:szCs w:val="20"/>
    </w:rPr>
  </w:style>
  <w:style w:type="character" w:styleId="EndnoteReference">
    <w:name w:val="endnote reference"/>
    <w:rsid w:val="00EF676A"/>
    <w:rPr>
      <w:vertAlign w:val="superscript"/>
    </w:rPr>
  </w:style>
  <w:style w:type="paragraph" w:styleId="ColorfulList-Accent1">
    <w:name w:val="Colorful List Accent 1"/>
    <w:basedOn w:val="Normal"/>
    <w:uiPriority w:val="34"/>
    <w:qFormat/>
    <w:rsid w:val="00C31C2C"/>
    <w:pPr>
      <w:ind w:left="720"/>
      <w:contextualSpacing/>
    </w:pPr>
  </w:style>
  <w:style w:type="paragraph" w:styleId="Header">
    <w:name w:val="header"/>
    <w:basedOn w:val="Normal"/>
    <w:link w:val="HeaderChar"/>
    <w:rsid w:val="004074C4"/>
    <w:pPr>
      <w:tabs>
        <w:tab w:val="center" w:pos="4513"/>
        <w:tab w:val="right" w:pos="9026"/>
      </w:tabs>
    </w:pPr>
  </w:style>
  <w:style w:type="character" w:customStyle="1" w:styleId="HeaderChar">
    <w:name w:val="Header Char"/>
    <w:link w:val="Header"/>
    <w:rsid w:val="004074C4"/>
    <w:rPr>
      <w:rFonts w:ascii="Garamond" w:hAnsi="Garamond"/>
      <w:sz w:val="24"/>
      <w:szCs w:val="24"/>
    </w:rPr>
  </w:style>
  <w:style w:type="paragraph" w:styleId="Footer">
    <w:name w:val="footer"/>
    <w:basedOn w:val="Normal"/>
    <w:link w:val="FooterChar"/>
    <w:rsid w:val="004074C4"/>
    <w:pPr>
      <w:tabs>
        <w:tab w:val="center" w:pos="4513"/>
        <w:tab w:val="right" w:pos="9026"/>
      </w:tabs>
    </w:pPr>
  </w:style>
  <w:style w:type="character" w:customStyle="1" w:styleId="FooterChar">
    <w:name w:val="Footer Char"/>
    <w:link w:val="Footer"/>
    <w:rsid w:val="004074C4"/>
    <w:rPr>
      <w:rFonts w:ascii="Garamond" w:hAnsi="Garamond"/>
      <w:sz w:val="24"/>
      <w:szCs w:val="24"/>
    </w:rPr>
  </w:style>
  <w:style w:type="paragraph" w:styleId="FootnoteText">
    <w:name w:val="footnote text"/>
    <w:basedOn w:val="Normal"/>
    <w:link w:val="FootnoteTextChar"/>
    <w:rsid w:val="004074C4"/>
    <w:rPr>
      <w:sz w:val="20"/>
      <w:szCs w:val="20"/>
    </w:rPr>
  </w:style>
  <w:style w:type="character" w:customStyle="1" w:styleId="FootnoteTextChar">
    <w:name w:val="Footnote Text Char"/>
    <w:link w:val="FootnoteText"/>
    <w:rsid w:val="004074C4"/>
    <w:rPr>
      <w:rFonts w:ascii="Garamond" w:hAnsi="Garamond"/>
    </w:rPr>
  </w:style>
  <w:style w:type="character" w:styleId="FootnoteReference">
    <w:name w:val="footnote reference"/>
    <w:rsid w:val="004074C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55717215">
      <w:bodyDiv w:val="1"/>
      <w:marLeft w:val="0"/>
      <w:marRight w:val="0"/>
      <w:marTop w:val="0"/>
      <w:marBottom w:val="0"/>
      <w:divBdr>
        <w:top w:val="none" w:sz="0" w:space="0" w:color="auto"/>
        <w:left w:val="none" w:sz="0" w:space="0" w:color="auto"/>
        <w:bottom w:val="none" w:sz="0" w:space="0" w:color="auto"/>
        <w:right w:val="none" w:sz="0" w:space="0" w:color="auto"/>
      </w:divBdr>
      <w:divsChild>
        <w:div w:id="572159132">
          <w:marLeft w:val="821"/>
          <w:marRight w:val="0"/>
          <w:marTop w:val="0"/>
          <w:marBottom w:val="0"/>
          <w:divBdr>
            <w:top w:val="none" w:sz="0" w:space="0" w:color="auto"/>
            <w:left w:val="none" w:sz="0" w:space="0" w:color="auto"/>
            <w:bottom w:val="none" w:sz="0" w:space="0" w:color="auto"/>
            <w:right w:val="none" w:sz="0" w:space="0" w:color="auto"/>
          </w:divBdr>
        </w:div>
        <w:div w:id="1002125443">
          <w:marLeft w:val="432"/>
          <w:marRight w:val="0"/>
          <w:marTop w:val="0"/>
          <w:marBottom w:val="0"/>
          <w:divBdr>
            <w:top w:val="none" w:sz="0" w:space="0" w:color="auto"/>
            <w:left w:val="none" w:sz="0" w:space="0" w:color="auto"/>
            <w:bottom w:val="none" w:sz="0" w:space="0" w:color="auto"/>
            <w:right w:val="none" w:sz="0" w:space="0" w:color="auto"/>
          </w:divBdr>
        </w:div>
      </w:divsChild>
    </w:div>
    <w:div w:id="1483614885">
      <w:bodyDiv w:val="1"/>
      <w:marLeft w:val="0"/>
      <w:marRight w:val="0"/>
      <w:marTop w:val="0"/>
      <w:marBottom w:val="0"/>
      <w:divBdr>
        <w:top w:val="none" w:sz="0" w:space="0" w:color="auto"/>
        <w:left w:val="none" w:sz="0" w:space="0" w:color="auto"/>
        <w:bottom w:val="none" w:sz="0" w:space="0" w:color="auto"/>
        <w:right w:val="none" w:sz="0" w:space="0" w:color="auto"/>
      </w:divBdr>
      <w:divsChild>
        <w:div w:id="105201414">
          <w:marLeft w:val="446"/>
          <w:marRight w:val="0"/>
          <w:marTop w:val="0"/>
          <w:marBottom w:val="0"/>
          <w:divBdr>
            <w:top w:val="none" w:sz="0" w:space="0" w:color="auto"/>
            <w:left w:val="none" w:sz="0" w:space="0" w:color="auto"/>
            <w:bottom w:val="none" w:sz="0" w:space="0" w:color="auto"/>
            <w:right w:val="none" w:sz="0" w:space="0" w:color="auto"/>
          </w:divBdr>
        </w:div>
        <w:div w:id="1338381713">
          <w:marLeft w:val="446"/>
          <w:marRight w:val="0"/>
          <w:marTop w:val="0"/>
          <w:marBottom w:val="0"/>
          <w:divBdr>
            <w:top w:val="none" w:sz="0" w:space="0" w:color="auto"/>
            <w:left w:val="none" w:sz="0" w:space="0" w:color="auto"/>
            <w:bottom w:val="none" w:sz="0" w:space="0" w:color="auto"/>
            <w:right w:val="none" w:sz="0" w:space="0" w:color="auto"/>
          </w:divBdr>
        </w:div>
        <w:div w:id="1946838330">
          <w:marLeft w:val="446"/>
          <w:marRight w:val="0"/>
          <w:marTop w:val="0"/>
          <w:marBottom w:val="0"/>
          <w:divBdr>
            <w:top w:val="none" w:sz="0" w:space="0" w:color="auto"/>
            <w:left w:val="none" w:sz="0" w:space="0" w:color="auto"/>
            <w:bottom w:val="none" w:sz="0" w:space="0" w:color="auto"/>
            <w:right w:val="none" w:sz="0" w:space="0" w:color="auto"/>
          </w:divBdr>
        </w:div>
        <w:div w:id="1965505833">
          <w:marLeft w:val="446"/>
          <w:marRight w:val="0"/>
          <w:marTop w:val="0"/>
          <w:marBottom w:val="0"/>
          <w:divBdr>
            <w:top w:val="none" w:sz="0" w:space="0" w:color="auto"/>
            <w:left w:val="none" w:sz="0" w:space="0" w:color="auto"/>
            <w:bottom w:val="none" w:sz="0" w:space="0" w:color="auto"/>
            <w:right w:val="none" w:sz="0" w:space="0" w:color="auto"/>
          </w:divBdr>
        </w:div>
      </w:divsChild>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3169</Words>
  <Characters>18067</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Heythrop College</Company>
  <LinksUpToDate>false</LinksUpToDate>
  <CharactersWithSpaces>21194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Lacewing</dc:creator>
  <cp:keywords/>
  <cp:lastModifiedBy>Michael Lacewing</cp:lastModifiedBy>
  <cp:revision>3</cp:revision>
  <dcterms:created xsi:type="dcterms:W3CDTF">2018-05-20T16:13:00Z</dcterms:created>
  <dcterms:modified xsi:type="dcterms:W3CDTF">2018-05-20T16:14:00Z</dcterms:modified>
</cp:coreProperties>
</file>