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04DF2" w:rsidRPr="00C04E10" w:rsidRDefault="00604DF2" w:rsidP="00604DF2">
      <w:pPr>
        <w:pStyle w:val="Title"/>
        <w:rPr>
          <w:rFonts w:ascii="Trebuchet MS" w:hAnsi="Trebuchet MS"/>
          <w:szCs w:val="28"/>
        </w:rPr>
      </w:pPr>
      <w:r w:rsidRPr="00C04E10">
        <w:rPr>
          <w:rFonts w:ascii="Trebuchet MS" w:hAnsi="Trebuchet MS"/>
          <w:szCs w:val="28"/>
        </w:rPr>
        <w:t>Plato and Aristotle on Well-being</w:t>
      </w:r>
      <w:bookmarkStart w:id="0" w:name="_GoBack"/>
      <w:bookmarkEnd w:id="0"/>
    </w:p>
    <w:p w:rsidR="00604DF2" w:rsidRDefault="00604DF2" w:rsidP="00604DF2">
      <w:pPr>
        <w:rPr>
          <w:rFonts w:ascii="Trebuchet MS" w:hAnsi="Trebuchet MS"/>
        </w:rPr>
      </w:pPr>
    </w:p>
    <w:p w:rsidR="00C04E10" w:rsidRPr="003C73CE" w:rsidRDefault="00C04E10" w:rsidP="00604DF2">
      <w:pPr>
        <w:rPr>
          <w:rFonts w:ascii="Trebuchet MS" w:hAnsi="Trebuchet MS"/>
        </w:rPr>
      </w:pPr>
    </w:p>
    <w:p w:rsidR="00604DF2" w:rsidRPr="003C73CE" w:rsidRDefault="00604DF2" w:rsidP="00604DF2">
      <w:pPr>
        <w:rPr>
          <w:rFonts w:ascii="Trebuchet MS" w:hAnsi="Trebuchet MS"/>
        </w:rPr>
      </w:pPr>
      <w:r w:rsidRPr="003C73CE">
        <w:rPr>
          <w:rFonts w:ascii="Trebuchet MS" w:hAnsi="Trebuchet MS"/>
        </w:rPr>
        <w:t xml:space="preserve">The notion of well-being in Greek ethics should be contrasted with our idea of ‘happiness’, which is often the word used to translate the Greek </w:t>
      </w:r>
      <w:r w:rsidRPr="003C73CE">
        <w:rPr>
          <w:rFonts w:ascii="Trebuchet MS" w:hAnsi="Trebuchet MS"/>
          <w:i/>
        </w:rPr>
        <w:t>eudaimonia</w:t>
      </w:r>
      <w:r w:rsidRPr="003C73CE">
        <w:rPr>
          <w:rFonts w:ascii="Trebuchet MS" w:hAnsi="Trebuchet MS"/>
        </w:rPr>
        <w:t xml:space="preserve">. First, eudaimonia is not a state of mind, but relates to an activity – the activity of living. Second, it is not something subjective, but objective. To say someone is or was </w:t>
      </w:r>
      <w:r w:rsidRPr="003C73CE">
        <w:rPr>
          <w:rFonts w:ascii="Trebuchet MS" w:hAnsi="Trebuchet MS"/>
          <w:i/>
          <w:iCs/>
        </w:rPr>
        <w:t>eudaimon</w:t>
      </w:r>
      <w:r w:rsidRPr="003C73CE">
        <w:rPr>
          <w:rFonts w:ascii="Trebuchet MS" w:hAnsi="Trebuchet MS"/>
        </w:rPr>
        <w:t xml:space="preserve"> is to make an objective judgment about their life as a good human life. It is not to say anything (directly) about their state of mind; nor is it a judgment the subject themselves has any special authority over. Third, eudaimonia is not something easily changed, it does not come and go as happiness (in the usual sense) can. For it is an evaluation of a life (a life lived well) or a person (a good person) as a whole. Finally, eudaimonia involves the notion of the fulfilment of one’s life, and therefore requires the development of the person. A good life is something dynamic, involving the fulfilment of the potential that a human life has.</w:t>
      </w:r>
    </w:p>
    <w:p w:rsidR="00604DF2" w:rsidRPr="003C73CE" w:rsidRDefault="00604DF2" w:rsidP="00604DF2">
      <w:pPr>
        <w:rPr>
          <w:rFonts w:ascii="Trebuchet MS" w:hAnsi="Trebuchet MS"/>
        </w:rPr>
      </w:pPr>
    </w:p>
    <w:p w:rsidR="00604DF2" w:rsidRPr="003C73CE" w:rsidRDefault="00604DF2" w:rsidP="00604DF2">
      <w:pPr>
        <w:pStyle w:val="Heading1"/>
        <w:rPr>
          <w:rFonts w:ascii="Trebuchet MS" w:hAnsi="Trebuchet MS"/>
          <w:szCs w:val="24"/>
        </w:rPr>
      </w:pPr>
      <w:r w:rsidRPr="003C73CE">
        <w:rPr>
          <w:rFonts w:ascii="Trebuchet MS" w:hAnsi="Trebuchet MS"/>
          <w:szCs w:val="24"/>
        </w:rPr>
        <w:t>Plato</w:t>
      </w:r>
    </w:p>
    <w:p w:rsidR="00604DF2" w:rsidRPr="003C73CE" w:rsidRDefault="00604DF2" w:rsidP="00604DF2">
      <w:pPr>
        <w:rPr>
          <w:rFonts w:ascii="Trebuchet MS" w:hAnsi="Trebuchet MS"/>
        </w:rPr>
      </w:pPr>
      <w:r w:rsidRPr="003C73CE">
        <w:rPr>
          <w:rFonts w:ascii="Trebuchet MS" w:hAnsi="Trebuchet MS"/>
        </w:rPr>
        <w:t xml:space="preserve">Plato thinks that human well-being means having a virtuous soul. Perhaps the most straightforward way of understanding why he thinks this is to focus on the discussion of why justice is a virtue, even when being just </w:t>
      </w:r>
      <w:r w:rsidRPr="003C73CE">
        <w:rPr>
          <w:rFonts w:ascii="Trebuchet MS" w:hAnsi="Trebuchet MS"/>
          <w:i/>
        </w:rPr>
        <w:t>appears</w:t>
      </w:r>
      <w:r w:rsidRPr="003C73CE">
        <w:rPr>
          <w:rFonts w:ascii="Trebuchet MS" w:hAnsi="Trebuchet MS"/>
        </w:rPr>
        <w:t xml:space="preserve"> to lead to a life that is not as good as being unjust but getting away with it.</w:t>
      </w:r>
    </w:p>
    <w:p w:rsidR="00604DF2" w:rsidRPr="003C73CE" w:rsidRDefault="00604DF2" w:rsidP="00604DF2">
      <w:pPr>
        <w:rPr>
          <w:rFonts w:ascii="Trebuchet MS" w:hAnsi="Trebuchet MS"/>
        </w:rPr>
      </w:pPr>
    </w:p>
    <w:p w:rsidR="00604DF2" w:rsidRPr="003C73CE" w:rsidRDefault="00604DF2" w:rsidP="00604DF2">
      <w:pPr>
        <w:rPr>
          <w:rFonts w:ascii="Trebuchet MS" w:hAnsi="Trebuchet MS"/>
        </w:rPr>
      </w:pPr>
      <w:r w:rsidRPr="003C73CE">
        <w:rPr>
          <w:rFonts w:ascii="Trebuchet MS" w:hAnsi="Trebuchet MS"/>
        </w:rPr>
        <w:t xml:space="preserve">Here is the challenge that Thrasymachus presents in </w:t>
      </w:r>
      <w:r w:rsidRPr="003C73CE">
        <w:rPr>
          <w:rFonts w:ascii="Trebuchet MS" w:hAnsi="Trebuchet MS"/>
          <w:i/>
        </w:rPr>
        <w:t>The Republic</w:t>
      </w:r>
      <w:r w:rsidRPr="003C73CE">
        <w:rPr>
          <w:rFonts w:ascii="Trebuchet MS" w:hAnsi="Trebuchet MS"/>
        </w:rPr>
        <w:t>: Happiness (which, for this question, we can take as well-being) is about getting what you want, for which you need power. The strong are more able to take what they want than the weak. But it isn’t always just to take what you want. So acting ‘unjustly’, in the sense of disregarding the interests of others while pursuing one’s own, if you can get away with it, will make you happy: ‘The doer of injustice [is] the happiest of men’ (344a). Plato rejects this. Happiness isn’t about getting what you want in this sense; it is about having a virtuous soul. But why does this lead to greater well-being than simply satisfying our desires?</w:t>
      </w:r>
    </w:p>
    <w:p w:rsidR="00604DF2" w:rsidRPr="003C73CE" w:rsidRDefault="00604DF2" w:rsidP="00604DF2">
      <w:pPr>
        <w:keepNext/>
        <w:rPr>
          <w:rFonts w:ascii="Trebuchet MS" w:hAnsi="Trebuchet MS"/>
        </w:rPr>
      </w:pPr>
    </w:p>
    <w:p w:rsidR="00604DF2" w:rsidRPr="003C73CE" w:rsidRDefault="00604DF2" w:rsidP="00604DF2">
      <w:pPr>
        <w:rPr>
          <w:rFonts w:ascii="Trebuchet MS" w:hAnsi="Trebuchet MS"/>
        </w:rPr>
      </w:pPr>
      <w:r w:rsidRPr="003C73CE">
        <w:rPr>
          <w:rFonts w:ascii="Trebuchet MS" w:hAnsi="Trebuchet MS"/>
        </w:rPr>
        <w:t xml:space="preserve">To show that justice makes its possessor happy, we must first understand what justice ‘in the soul’ is. In this exploration, Plato develops and extends the idea that justice involves not wanting more than one’s share. He argues, from the common experience of internal conflict between what we want and what we believe is good, that there are parts of the soul (436b). Desires are distinct from the ‘spirited’ part of the soul, and both are distinct again from reason. We can give an account of the four ‘cardinal virtues’ on this analysis: When reason rules the soul, the person is wise; when the spirited part has its appropriate strength, the person is courageous; when all parts of the soul collude in the rule of reason, in particular with desires being restrained and not unruly, the person is temperate. Being just consists in each part functioning as it should, being contented to make its contribution </w:t>
      </w:r>
      <w:r w:rsidRPr="003C73CE">
        <w:rPr>
          <w:rFonts w:ascii="Trebuchet MS" w:hAnsi="Trebuchet MS"/>
        </w:rPr>
        <w:lastRenderedPageBreak/>
        <w:t>and accepting the contributions of the others. Plato talks of ‘friendship’ between the parts of the soul (589a). Justice, then, brings wisdom, courage and temperance with it.</w:t>
      </w:r>
    </w:p>
    <w:p w:rsidR="00604DF2" w:rsidRPr="003C73CE" w:rsidRDefault="00604DF2" w:rsidP="00604DF2">
      <w:pPr>
        <w:keepNext/>
        <w:rPr>
          <w:rFonts w:ascii="Trebuchet MS" w:hAnsi="Trebuchet MS"/>
        </w:rPr>
      </w:pPr>
    </w:p>
    <w:p w:rsidR="00604DF2" w:rsidRPr="003C73CE" w:rsidRDefault="00604DF2" w:rsidP="00604DF2">
      <w:pPr>
        <w:rPr>
          <w:rFonts w:ascii="Trebuchet MS" w:hAnsi="Trebuchet MS"/>
        </w:rPr>
      </w:pPr>
      <w:r w:rsidRPr="003C73CE">
        <w:rPr>
          <w:rFonts w:ascii="Trebuchet MS" w:hAnsi="Trebuchet MS"/>
        </w:rPr>
        <w:t>This explains why the just person will be happy, the unjust person unhappy. A life without inner conflict is a happier life than one in which parts of the soul fight each other for supremacy. In Books VIII and IX (543-580), Plato describes the life of people with various desires in charge (money: encourages licentiousness; satisfaction: with no overall desire in charge, unnecessary desires grow in strength; lust: uncontrollable desires grow in strength, the soul becomes fearful and full of regret), or with spirit in charge (a compromise as desires clamour, with honour in danger of becoming allied to wealth). These charges all depend on his view that desires are incapable of self-regulation, that they are, in an important way, ‘blind’. Desires have no means of self-evaluation, i.e. whether they are good or bad; they simply seek satisfaction. But satisfying them can have adverse effects on the soul, and so on one’s life. Reason is needed to evaluate and control desires.</w:t>
      </w:r>
    </w:p>
    <w:p w:rsidR="00604DF2" w:rsidRPr="003C73CE" w:rsidRDefault="00604DF2" w:rsidP="00604DF2">
      <w:pPr>
        <w:rPr>
          <w:rFonts w:ascii="Trebuchet MS" w:hAnsi="Trebuchet MS"/>
        </w:rPr>
      </w:pPr>
    </w:p>
    <w:p w:rsidR="00604DF2" w:rsidRPr="003C73CE" w:rsidRDefault="00604DF2" w:rsidP="00604DF2">
      <w:pPr>
        <w:rPr>
          <w:rFonts w:ascii="Trebuchet MS" w:hAnsi="Trebuchet MS"/>
        </w:rPr>
      </w:pPr>
      <w:r w:rsidRPr="003C73CE">
        <w:rPr>
          <w:rFonts w:ascii="Trebuchet MS" w:hAnsi="Trebuchet MS"/>
        </w:rPr>
        <w:t xml:space="preserve">The description of desires as ‘blind’ seems to fit bodily desires and obsessions (e.g. with money) better than others, e.g. those involved in friendship and compassion, which seem to be desires for the good. One line of response Plato can make is that desires, as desires, do not involve consideration for the person </w:t>
      </w:r>
      <w:r w:rsidRPr="003C73CE">
        <w:rPr>
          <w:rFonts w:ascii="Trebuchet MS" w:hAnsi="Trebuchet MS"/>
          <w:i/>
        </w:rPr>
        <w:t>as a whole</w:t>
      </w:r>
      <w:r w:rsidRPr="003C73CE">
        <w:rPr>
          <w:rFonts w:ascii="Trebuchet MS" w:hAnsi="Trebuchet MS"/>
        </w:rPr>
        <w:t>; however, this is precisely the kind of reflection, moral or prudential, that reason provides (442c). When ruled by a desire or by spirit, how we conceive of what is good is skewed, and we lack a true conception of the good. Rule by desires, therefore, cannot provide happiness as securely as rule by reason. Reason recognises moral demands, and so, if it rules, directing desires and spirit rightly, the person will produce moral behaviour. It would seem, then, that knowledge of the good is necessary for justice. What is perhaps extraordinary in Plato’s account is his claim that only philosophers can have this knowledge. Whatever the truth of this, it is essential for Plato’s argument that only the rule of reason can secure the absence of inner conflict, and the pursuit of the truly good, that is the mark of true happiness.</w:t>
      </w:r>
    </w:p>
    <w:p w:rsidR="00604DF2" w:rsidRPr="003C73CE" w:rsidRDefault="00604DF2" w:rsidP="00604DF2">
      <w:pPr>
        <w:rPr>
          <w:rFonts w:ascii="Trebuchet MS" w:hAnsi="Trebuchet MS"/>
        </w:rPr>
      </w:pPr>
    </w:p>
    <w:p w:rsidR="00604DF2" w:rsidRPr="003C73CE" w:rsidRDefault="00604DF2" w:rsidP="00604DF2">
      <w:pPr>
        <w:pStyle w:val="Heading1"/>
        <w:rPr>
          <w:rFonts w:ascii="Trebuchet MS" w:hAnsi="Trebuchet MS"/>
          <w:szCs w:val="24"/>
        </w:rPr>
      </w:pPr>
      <w:r w:rsidRPr="003C73CE">
        <w:rPr>
          <w:rFonts w:ascii="Trebuchet MS" w:hAnsi="Trebuchet MS"/>
          <w:szCs w:val="24"/>
        </w:rPr>
        <w:t>Aristotle</w:t>
      </w:r>
    </w:p>
    <w:p w:rsidR="00604DF2" w:rsidRPr="003C73CE" w:rsidRDefault="00604DF2" w:rsidP="00604DF2">
      <w:pPr>
        <w:rPr>
          <w:rFonts w:ascii="Trebuchet MS" w:hAnsi="Trebuchet MS"/>
        </w:rPr>
      </w:pPr>
      <w:r w:rsidRPr="003C73CE">
        <w:rPr>
          <w:rFonts w:ascii="Trebuchet MS" w:hAnsi="Trebuchet MS"/>
        </w:rPr>
        <w:t>There are many similarities between Plato’s view of well-being and Aristotle’s. Aristotle also identifies parts of the soul (though differently) and he thinks virtues are what make us truly happy. But he expands the idea of ‘happiness’, and has a more subtle view of the relationship between desires/emotions and reason that makes for virtue.</w:t>
      </w:r>
    </w:p>
    <w:p w:rsidR="00604DF2" w:rsidRPr="003C73CE" w:rsidRDefault="00604DF2" w:rsidP="00604DF2">
      <w:pPr>
        <w:rPr>
          <w:rFonts w:ascii="Trebuchet MS" w:hAnsi="Trebuchet MS"/>
        </w:rPr>
      </w:pPr>
    </w:p>
    <w:p w:rsidR="00604DF2" w:rsidRPr="003C73CE" w:rsidRDefault="00604DF2" w:rsidP="00604DF2">
      <w:pPr>
        <w:rPr>
          <w:rFonts w:ascii="Trebuchet MS" w:hAnsi="Trebuchet MS"/>
        </w:rPr>
      </w:pPr>
      <w:r w:rsidRPr="003C73CE">
        <w:rPr>
          <w:rFonts w:ascii="Trebuchet MS" w:hAnsi="Trebuchet MS"/>
        </w:rPr>
        <w:t>Aristotle starts from the position of seeing human beings as animals, a p</w:t>
      </w:r>
      <w:r w:rsidR="00C04E10">
        <w:rPr>
          <w:rFonts w:ascii="Trebuchet MS" w:hAnsi="Trebuchet MS"/>
        </w:rPr>
        <w:t>articular kind of living being</w:t>
      </w:r>
      <w:r w:rsidRPr="003C73CE">
        <w:rPr>
          <w:rFonts w:ascii="Trebuchet MS" w:hAnsi="Trebuchet MS"/>
        </w:rPr>
        <w:t xml:space="preserve">. So well-being should be understood in terms of leading a good life. We may take from biology the idea of ‘flourishing’. We have an idea of what it is for a plant or animal to ‘flourish’, to ‘do well’, to be a good specimen of its species; we can provide an analysis of its needs and when those needs are met in abundance. Eudaimonia is ‘the </w:t>
      </w:r>
      <w:r w:rsidRPr="003C73CE">
        <w:rPr>
          <w:rFonts w:ascii="Trebuchet MS" w:hAnsi="Trebuchet MS"/>
        </w:rPr>
        <w:lastRenderedPageBreak/>
        <w:t>good’ or the ‘good life’ for human beings as the particular sorts of being we are, that to achieve it is to ‘live well’, living as best a human being can live.</w:t>
      </w:r>
    </w:p>
    <w:p w:rsidR="00604DF2" w:rsidRPr="003C73CE" w:rsidRDefault="00604DF2" w:rsidP="00604DF2">
      <w:pPr>
        <w:rPr>
          <w:rFonts w:ascii="Trebuchet MS" w:hAnsi="Trebuchet MS"/>
        </w:rPr>
      </w:pPr>
    </w:p>
    <w:p w:rsidR="00604DF2" w:rsidRPr="003C73CE" w:rsidRDefault="00604DF2" w:rsidP="00604DF2">
      <w:pPr>
        <w:rPr>
          <w:rFonts w:ascii="Trebuchet MS" w:hAnsi="Trebuchet MS"/>
        </w:rPr>
      </w:pPr>
      <w:r w:rsidRPr="003C73CE">
        <w:rPr>
          <w:rFonts w:ascii="Trebuchet MS" w:hAnsi="Trebuchet MS"/>
        </w:rPr>
        <w:t xml:space="preserve">Well-being is the ‘final end’ of living. For any action or activity, there is a purpose (a ‘why’) for which we undertake it. This should be understood as distinct from the motive – many activities have their purpose ‘built in’, which defines the activity as what it is. For example, I may play a game of chess with you to make you feel better, but the purpose of the game of chess is to checkmate the opponent’s king. So, if we understand my activity as playing chess, this should be my purpose. The purposes of playing a </w:t>
      </w:r>
      <w:r w:rsidRPr="003C73CE">
        <w:rPr>
          <w:rFonts w:ascii="Trebuchet MS" w:hAnsi="Trebuchet MS"/>
          <w:i/>
          <w:iCs/>
        </w:rPr>
        <w:t>game</w:t>
      </w:r>
      <w:r w:rsidRPr="003C73CE">
        <w:rPr>
          <w:rFonts w:ascii="Trebuchet MS" w:hAnsi="Trebuchet MS"/>
        </w:rPr>
        <w:t>, however, are manifold, and related to whether the playing is just play, or competition, or the demonstration of virtuosity, or whatever.</w:t>
      </w:r>
    </w:p>
    <w:p w:rsidR="00604DF2" w:rsidRPr="003C73CE" w:rsidRDefault="00604DF2" w:rsidP="00604DF2">
      <w:pPr>
        <w:rPr>
          <w:rFonts w:ascii="Trebuchet MS" w:hAnsi="Trebuchet MS"/>
        </w:rPr>
      </w:pPr>
    </w:p>
    <w:p w:rsidR="00604DF2" w:rsidRPr="003C73CE" w:rsidRDefault="00604DF2" w:rsidP="00604DF2">
      <w:pPr>
        <w:rPr>
          <w:rFonts w:ascii="Trebuchet MS" w:hAnsi="Trebuchet MS"/>
        </w:rPr>
      </w:pPr>
      <w:r w:rsidRPr="003C73CE">
        <w:rPr>
          <w:rFonts w:ascii="Trebuchet MS" w:hAnsi="Trebuchet MS"/>
        </w:rPr>
        <w:t xml:space="preserve">An analysis of the purposes for which we do things is an analysis of what we see to be ‘good’ about them. This is obvious is the thought that an answer to the ‘why?’ is an answer to ‘what’s the point?’ – and ‘the point’ is only </w:t>
      </w:r>
      <w:r w:rsidRPr="003C73CE">
        <w:rPr>
          <w:rFonts w:ascii="Trebuchet MS" w:hAnsi="Trebuchet MS"/>
          <w:i/>
          <w:iCs/>
        </w:rPr>
        <w:t>a</w:t>
      </w:r>
      <w:r w:rsidRPr="003C73CE">
        <w:rPr>
          <w:rFonts w:ascii="Trebuchet MS" w:hAnsi="Trebuchet MS"/>
        </w:rPr>
        <w:t xml:space="preserve"> point if there is something apparently worthwhile about it. Now there can’t be an infinite regress of why we do things, says Aristotle. We undertake actions and activities either for the sake of something further or ‘for their own sake’. This may lead us to believe that we have many ‘final ends’, as many as the purposes for which we can’t give a further explanation. But Aristotle claims that everything is done for the sake of eudaimonia, for the purpose of leading the ‘best life’. It is the final answer to all our ‘whys’ – we do this thing in order to lead the best life available to us. Everything is ultimately done for its sake. And we never aim to lead the best life in order to achieve some further goal. </w:t>
      </w:r>
    </w:p>
    <w:p w:rsidR="00604DF2" w:rsidRPr="003C73CE" w:rsidRDefault="00604DF2" w:rsidP="00604DF2">
      <w:pPr>
        <w:rPr>
          <w:rFonts w:ascii="Trebuchet MS" w:hAnsi="Trebuchet MS"/>
        </w:rPr>
      </w:pPr>
    </w:p>
    <w:p w:rsidR="00604DF2" w:rsidRPr="003C73CE" w:rsidRDefault="00604DF2" w:rsidP="00604DF2">
      <w:pPr>
        <w:rPr>
          <w:rFonts w:ascii="Trebuchet MS" w:hAnsi="Trebuchet MS"/>
        </w:rPr>
      </w:pPr>
      <w:r w:rsidRPr="003C73CE">
        <w:rPr>
          <w:rFonts w:ascii="Trebuchet MS" w:hAnsi="Trebuchet MS"/>
          <w:bCs/>
        </w:rPr>
        <w:t xml:space="preserve">To understand a good life for human beings, we need to understand what kind of life they lead. Those qualities that help us lead a good life are ‘excellences’. </w:t>
      </w:r>
      <w:r w:rsidRPr="003C73CE">
        <w:rPr>
          <w:rFonts w:ascii="Trebuchet MS" w:hAnsi="Trebuchet MS"/>
        </w:rPr>
        <w:t xml:space="preserve">An </w:t>
      </w:r>
      <w:r w:rsidRPr="003C73CE">
        <w:rPr>
          <w:rFonts w:ascii="Trebuchet MS" w:hAnsi="Trebuchet MS"/>
          <w:i/>
          <w:iCs/>
        </w:rPr>
        <w:t>arete</w:t>
      </w:r>
      <w:r w:rsidRPr="003C73CE">
        <w:rPr>
          <w:rFonts w:ascii="Trebuchet MS" w:hAnsi="Trebuchet MS"/>
        </w:rPr>
        <w:t xml:space="preserve">, translated as excellence or virtue, is a quality that aids the fulfilment our nature. </w:t>
      </w:r>
      <w:r w:rsidRPr="003C73CE">
        <w:rPr>
          <w:rFonts w:ascii="Trebuchet MS" w:hAnsi="Trebuchet MS"/>
          <w:bCs/>
        </w:rPr>
        <w:t xml:space="preserve">Aristotle argues that what is distinctive about human lives is living in accordance with reason. </w:t>
      </w:r>
      <w:r w:rsidRPr="003C73CE">
        <w:rPr>
          <w:rFonts w:ascii="Trebuchet MS" w:hAnsi="Trebuchet MS"/>
        </w:rPr>
        <w:t xml:space="preserve">‘Reason’ is an activity of the ‘soul’, for Aristotle. So eudaimonia will be </w:t>
      </w:r>
      <w:r w:rsidRPr="003C73CE">
        <w:rPr>
          <w:rFonts w:ascii="Trebuchet MS" w:hAnsi="Trebuchet MS"/>
          <w:iCs/>
        </w:rPr>
        <w:t>activity of the soul exhibiting virtue</w:t>
      </w:r>
      <w:r w:rsidRPr="003C73CE">
        <w:rPr>
          <w:rFonts w:ascii="Trebuchet MS" w:hAnsi="Trebuchet MS"/>
        </w:rPr>
        <w:t xml:space="preserve">, and a virtue turns out to be a trait of a person, in particular, of their mind or character, that helps us live according to reason. </w:t>
      </w:r>
      <w:r w:rsidRPr="003C73CE">
        <w:rPr>
          <w:rFonts w:ascii="Trebuchet MS" w:hAnsi="Trebuchet MS"/>
          <w:bCs/>
        </w:rPr>
        <w:t>A good life, then, is living in accordance with good reasons (bad reasons aren’t really reasons at all).</w:t>
      </w:r>
    </w:p>
    <w:p w:rsidR="00604DF2" w:rsidRPr="003C73CE" w:rsidRDefault="00604DF2" w:rsidP="00604DF2">
      <w:pPr>
        <w:rPr>
          <w:rFonts w:ascii="Trebuchet MS" w:hAnsi="Trebuchet MS"/>
        </w:rPr>
      </w:pPr>
    </w:p>
    <w:p w:rsidR="00604DF2" w:rsidRPr="003C73CE" w:rsidRDefault="00604DF2" w:rsidP="00604DF2">
      <w:pPr>
        <w:tabs>
          <w:tab w:val="left" w:pos="270"/>
        </w:tabs>
        <w:rPr>
          <w:rFonts w:ascii="Trebuchet MS" w:hAnsi="Trebuchet MS"/>
        </w:rPr>
      </w:pPr>
      <w:r w:rsidRPr="003C73CE">
        <w:rPr>
          <w:rFonts w:ascii="Trebuchet MS" w:hAnsi="Trebuchet MS"/>
        </w:rPr>
        <w:t>Aristotle argues that (1) a good life is better than a good soul which never does anything. In general, the employment of good qualities and the achievement of good purposes is better than the simple disposition to do so. This yields the claim that eudaimonia involves ‘activity’. (2) The goods of the soul are more worthy than goods external to it (wealth, health, power, etc.); we often think of the latter as necessary or additional to, but not comprising, a good life. Hence eudaimonia centrally concerns goods ‘of the soul’. But eudaimonia is the perfect good, it can’t be improved upon. So it is not simply the activity of pursuing and realizing goods of the soul, but of doing so well. So it is activity of the soul exhibiting excellence.</w:t>
      </w:r>
    </w:p>
    <w:p w:rsidR="00604DF2" w:rsidRPr="003C73CE" w:rsidRDefault="00604DF2" w:rsidP="00604DF2">
      <w:pPr>
        <w:rPr>
          <w:rFonts w:ascii="Trebuchet MS" w:hAnsi="Trebuchet MS"/>
        </w:rPr>
      </w:pPr>
    </w:p>
    <w:p w:rsidR="00604DF2" w:rsidRPr="003C73CE" w:rsidRDefault="00604DF2" w:rsidP="00604DF2">
      <w:pPr>
        <w:rPr>
          <w:rFonts w:ascii="Trebuchet MS" w:hAnsi="Trebuchet MS"/>
        </w:rPr>
      </w:pPr>
      <w:r w:rsidRPr="003C73CE">
        <w:rPr>
          <w:rFonts w:ascii="Trebuchet MS" w:hAnsi="Trebuchet MS"/>
        </w:rPr>
        <w:lastRenderedPageBreak/>
        <w:t xml:space="preserve">There are two forms of virtue – intellectual virtues, that help with the actual process of reasoning, whether practical or theoretical; and virtues of character, which bring my desires and emotions into line with reason, so that I want and feel on the basis of good reasons. In Book X of the </w:t>
      </w:r>
      <w:r w:rsidRPr="003C73CE">
        <w:rPr>
          <w:rFonts w:ascii="Trebuchet MS" w:hAnsi="Trebuchet MS"/>
          <w:i/>
        </w:rPr>
        <w:t>Nicomachean Ethics</w:t>
      </w:r>
      <w:r w:rsidRPr="003C73CE">
        <w:rPr>
          <w:rFonts w:ascii="Trebuchet MS" w:hAnsi="Trebuchet MS"/>
        </w:rPr>
        <w:t>, Aristotle discusses whether a life of pure reasoning – that is, theoretical contemplation – is the best life. Philosophers disagree about his answer; after spending so much time discussing practical reasoning and the virtues of character, does he really conclude that they are not as important as contemplation? My view is that he thinks contemplation is the best part of a good life; but it cannot comprise a good life on its own.</w:t>
      </w:r>
    </w:p>
    <w:p w:rsidR="00604DF2" w:rsidRPr="003C73CE" w:rsidRDefault="00604DF2" w:rsidP="00604DF2">
      <w:pPr>
        <w:rPr>
          <w:rFonts w:ascii="Trebuchet MS" w:hAnsi="Trebuchet MS"/>
        </w:rPr>
      </w:pPr>
    </w:p>
    <w:p w:rsidR="00604DF2" w:rsidRPr="003C73CE" w:rsidRDefault="00604DF2" w:rsidP="00604DF2">
      <w:pPr>
        <w:rPr>
          <w:rFonts w:ascii="Trebuchet MS" w:hAnsi="Trebuchet MS"/>
        </w:rPr>
      </w:pPr>
      <w:r w:rsidRPr="003C73CE">
        <w:rPr>
          <w:rFonts w:ascii="Trebuchet MS" w:hAnsi="Trebuchet MS"/>
        </w:rPr>
        <w:t xml:space="preserve">Just as Plato faced the challenge of whether being just will really be good for me, we can ask Aristotle whether living the best life for a human being will be the best life for </w:t>
      </w:r>
      <w:r w:rsidRPr="003C73CE">
        <w:rPr>
          <w:rFonts w:ascii="Trebuchet MS" w:hAnsi="Trebuchet MS"/>
          <w:i/>
        </w:rPr>
        <w:t>me</w:t>
      </w:r>
      <w:r w:rsidRPr="003C73CE">
        <w:rPr>
          <w:rFonts w:ascii="Trebuchet MS" w:hAnsi="Trebuchet MS"/>
        </w:rPr>
        <w:t xml:space="preserve">. I may be a good man, but is this good </w:t>
      </w:r>
      <w:r w:rsidRPr="003C73CE">
        <w:rPr>
          <w:rFonts w:ascii="Trebuchet MS" w:hAnsi="Trebuchet MS"/>
          <w:i/>
        </w:rPr>
        <w:t>for</w:t>
      </w:r>
      <w:r w:rsidRPr="003C73CE">
        <w:rPr>
          <w:rFonts w:ascii="Trebuchet MS" w:hAnsi="Trebuchet MS"/>
        </w:rPr>
        <w:t xml:space="preserve"> me? (We often think that ethics is demanding, that I might be worse off being moral.) Aristotle can reply that living in accordance with reason means satisfying all the needs of the person as a whole. We might, then, be suspicious of his claim that the best life for me is also the moral life. Is morality a matter of ‘self-interest’? Both Plato and Aristotle answer ‘yes’ – if you consider ‘self-interest’ in the right light. We often mistake our self-interest for getting whatever we want, rather than realizing that some of our desires or emotions are not good for us.</w:t>
      </w:r>
    </w:p>
    <w:p w:rsidR="00604DF2" w:rsidRPr="003C73CE" w:rsidRDefault="00604DF2" w:rsidP="00604DF2">
      <w:pPr>
        <w:rPr>
          <w:rFonts w:ascii="Trebuchet MS" w:hAnsi="Trebuchet MS"/>
        </w:rPr>
      </w:pPr>
    </w:p>
    <w:p w:rsidR="00604DF2" w:rsidRPr="003C73CE" w:rsidRDefault="00604DF2" w:rsidP="00604DF2">
      <w:pPr>
        <w:rPr>
          <w:rFonts w:ascii="Trebuchet MS" w:hAnsi="Trebuchet MS"/>
        </w:rPr>
      </w:pPr>
      <w:r w:rsidRPr="003C73CE">
        <w:rPr>
          <w:rFonts w:ascii="Trebuchet MS" w:hAnsi="Trebuchet MS"/>
        </w:rPr>
        <w:t xml:space="preserve">We may further ask whether ‘living in accordance with reason’ determines any </w:t>
      </w:r>
      <w:r w:rsidRPr="003C73CE">
        <w:rPr>
          <w:rFonts w:ascii="Trebuchet MS" w:hAnsi="Trebuchet MS"/>
          <w:i/>
        </w:rPr>
        <w:t>particular</w:t>
      </w:r>
      <w:r w:rsidRPr="003C73CE">
        <w:rPr>
          <w:rFonts w:ascii="Trebuchet MS" w:hAnsi="Trebuchet MS"/>
        </w:rPr>
        <w:t xml:space="preserve"> way of living, i.e. does it tell us what is morally right and wrong? But we must leave that question for another occasion.</w:t>
      </w:r>
    </w:p>
    <w:p w:rsidR="00291350" w:rsidRPr="003C73CE" w:rsidDel="005073C4" w:rsidRDefault="00E942A7" w:rsidP="00291350">
      <w:pPr>
        <w:pStyle w:val="Text"/>
        <w:rPr>
          <w:rFonts w:ascii="Trebuchet MS" w:hAnsi="Trebuchet MS"/>
        </w:rPr>
      </w:pPr>
    </w:p>
    <w:sectPr w:rsidR="00291350" w:rsidRPr="003C73CE" w:rsidDel="005073C4" w:rsidSect="00291350">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942A7" w:rsidRDefault="00E942A7">
      <w:r>
        <w:separator/>
      </w:r>
    </w:p>
  </w:endnote>
  <w:endnote w:type="continuationSeparator" w:id="0">
    <w:p w:rsidR="00E942A7" w:rsidRDefault="00E942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942A7" w:rsidRDefault="00E942A7">
      <w:r>
        <w:separator/>
      </w:r>
    </w:p>
  </w:footnote>
  <w:footnote w:type="continuationSeparator" w:id="0">
    <w:p w:rsidR="00E942A7" w:rsidRDefault="00E942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1350" w:rsidRDefault="00E942A7" w:rsidP="00291350">
    <w:pPr>
      <w:pStyle w:val="Header"/>
      <w:jc w:val="right"/>
    </w:pPr>
  </w:p>
  <w:p w:rsidR="00291350" w:rsidRDefault="00E942A7" w:rsidP="00291350">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1350" w:rsidRDefault="00604DF2" w:rsidP="00291350">
    <w:pPr>
      <w:pStyle w:val="Header"/>
      <w:jc w:val="right"/>
    </w:pPr>
    <w:r>
      <w:t>©</w:t>
    </w:r>
    <w:r w:rsidR="003C73CE">
      <w:t xml:space="preserve"> Michael Lacewing</w:t>
    </w:r>
  </w:p>
  <w:p w:rsidR="00291350" w:rsidRDefault="00E942A7" w:rsidP="0029135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proofState w:spelling="clean"/>
  <w:attachedTemplate r:id="rId1"/>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04DF2"/>
    <w:rsid w:val="003C73CE"/>
    <w:rsid w:val="00604DF2"/>
    <w:rsid w:val="00C04E10"/>
    <w:rsid w:val="00E942A7"/>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08D4F062"/>
  <w15:docId w15:val="{A7382574-D6DA-034C-9FAF-6E05374EB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04DF2"/>
    <w:rPr>
      <w:sz w:val="24"/>
      <w:szCs w:val="24"/>
    </w:rPr>
  </w:style>
  <w:style w:type="paragraph" w:styleId="Heading1">
    <w:name w:val="heading 1"/>
    <w:basedOn w:val="Normal"/>
    <w:next w:val="Normal"/>
    <w:link w:val="Heading1Char"/>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paragraph" w:styleId="Heading6">
    <w:name w:val="heading 6"/>
    <w:basedOn w:val="Normal"/>
    <w:next w:val="Normal"/>
    <w:link w:val="Heading6Char"/>
    <w:qFormat/>
    <w:rsid w:val="00604DF2"/>
    <w:pPr>
      <w:keepNext/>
      <w:outlineLvl w:val="5"/>
    </w:pPr>
    <w:rPr>
      <w:rFonts w:ascii="Garamond" w:hAnsi="Garamond"/>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rPr>
      <w:rFonts w:ascii="Garamond" w:hAnsi="Garamond"/>
    </w:rPr>
  </w:style>
  <w:style w:type="paragraph" w:styleId="Footer">
    <w:name w:val="footer"/>
    <w:basedOn w:val="Normal"/>
    <w:semiHidden/>
    <w:rsid w:val="00B33B17"/>
    <w:pPr>
      <w:tabs>
        <w:tab w:val="center" w:pos="4320"/>
        <w:tab w:val="right" w:pos="8640"/>
      </w:tabs>
    </w:pPr>
    <w:rPr>
      <w:rFonts w:ascii="Garamond" w:hAnsi="Garamond"/>
    </w:rPr>
  </w:style>
  <w:style w:type="character" w:customStyle="1" w:styleId="Heading6Char">
    <w:name w:val="Heading 6 Char"/>
    <w:basedOn w:val="DefaultParagraphFont"/>
    <w:link w:val="Heading6"/>
    <w:rsid w:val="00604DF2"/>
    <w:rPr>
      <w:rFonts w:ascii="Garamond" w:hAnsi="Garamond"/>
      <w:sz w:val="28"/>
      <w:szCs w:val="24"/>
    </w:rPr>
  </w:style>
  <w:style w:type="paragraph" w:customStyle="1" w:styleId="Text">
    <w:name w:val="Text"/>
    <w:basedOn w:val="Normal"/>
    <w:autoRedefine/>
    <w:rsid w:val="00817553"/>
    <w:rPr>
      <w:rFonts w:ascii="Garamond" w:hAnsi="Garamond"/>
    </w:rPr>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Heading1Char">
    <w:name w:val="Heading 1 Char"/>
    <w:basedOn w:val="DefaultParagraphFont"/>
    <w:link w:val="Heading1"/>
    <w:rsid w:val="00604DF2"/>
    <w:rPr>
      <w:rFonts w:ascii="Arial" w:hAnsi="Arial"/>
      <w:b/>
      <w:caps/>
      <w:kern w:val="32"/>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8:Office:Media: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Macintosh%20HD:Applications:Microsoft%20Office%202008:Office:Media:Templates:My%20Templates:ALP%20handout%20template.dot</Template>
  <TotalTime>1</TotalTime>
  <Pages>4</Pages>
  <Words>1650</Words>
  <Characters>9405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A priori intuition and demonstration</vt:lpstr>
    </vt:vector>
  </TitlesOfParts>
  <Company>Heythrop College</Company>
  <LinksUpToDate>false</LinksUpToDate>
  <CharactersWithSpaces>11033</CharactersWithSpaces>
  <SharedDoc>false</SharedDoc>
  <HLinks>
    <vt:vector size="12" baseType="variant">
      <vt:variant>
        <vt:i4>4194352</vt:i4>
      </vt:variant>
      <vt:variant>
        <vt:i4>2052</vt:i4>
      </vt:variant>
      <vt:variant>
        <vt:i4>1025</vt:i4>
      </vt:variant>
      <vt:variant>
        <vt:i4>1</vt:i4>
      </vt:variant>
      <vt:variant>
        <vt:lpwstr>ROUT_Logo_Black</vt:lpwstr>
      </vt:variant>
      <vt:variant>
        <vt:lpwstr/>
      </vt:variant>
      <vt:variant>
        <vt:i4>786443</vt:i4>
      </vt:variant>
      <vt:variant>
        <vt:i4>2110</vt:i4>
      </vt:variant>
      <vt:variant>
        <vt:i4>1026</vt:i4>
      </vt:variant>
      <vt:variant>
        <vt:i4>1</vt:i4>
      </vt:variant>
      <vt:variant>
        <vt:lpwstr>frankrgb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dcterms:created xsi:type="dcterms:W3CDTF">2018-07-15T20:38:00Z</dcterms:created>
  <dcterms:modified xsi:type="dcterms:W3CDTF">2018-07-15T20:38:00Z</dcterms:modified>
</cp:coreProperties>
</file>