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BCEF10" w14:textId="69D40E7F" w:rsidR="002F7579" w:rsidRPr="00CC7241" w:rsidRDefault="00CC7241" w:rsidP="00F854CF">
      <w:pPr>
        <w:pStyle w:val="Title"/>
        <w:rPr>
          <w:rFonts w:ascii="Trebuchet MS" w:hAnsi="Trebuchet MS"/>
          <w:szCs w:val="28"/>
        </w:rPr>
      </w:pPr>
      <w:r w:rsidRPr="00CC7241">
        <w:rPr>
          <w:rFonts w:ascii="Trebuchet MS" w:hAnsi="Trebuchet MS"/>
          <w:szCs w:val="28"/>
        </w:rPr>
        <w:t>Religious ‘belief’</w:t>
      </w:r>
      <w:r>
        <w:rPr>
          <w:rStyle w:val="FootnoteReference"/>
          <w:rFonts w:ascii="Trebuchet MS" w:hAnsi="Trebuchet MS"/>
          <w:szCs w:val="28"/>
        </w:rPr>
        <w:footnoteReference w:id="1"/>
      </w:r>
    </w:p>
    <w:p w14:paraId="09EA78A3" w14:textId="77777777" w:rsidR="00CC7241" w:rsidRDefault="00CC7241" w:rsidP="00F854CF">
      <w:pPr>
        <w:pStyle w:val="Heading1"/>
        <w:rPr>
          <w:rFonts w:ascii="Trebuchet MS" w:hAnsi="Trebuchet MS"/>
          <w:szCs w:val="24"/>
        </w:rPr>
      </w:pPr>
    </w:p>
    <w:p w14:paraId="2384DFDC" w14:textId="5D73BD7A" w:rsidR="00D9751A" w:rsidRPr="00D9751A" w:rsidRDefault="00D9751A" w:rsidP="00D9751A">
      <w:pPr>
        <w:pStyle w:val="Heading1"/>
        <w:rPr>
          <w:rFonts w:ascii="Trebuchet MS" w:hAnsi="Trebuchet MS"/>
          <w:szCs w:val="24"/>
        </w:rPr>
      </w:pPr>
      <w:r w:rsidRPr="00D9751A">
        <w:rPr>
          <w:rFonts w:ascii="Trebuchet MS" w:hAnsi="Trebuchet MS"/>
          <w:szCs w:val="24"/>
        </w:rPr>
        <w:t>Religious experience as experience of God</w:t>
      </w:r>
    </w:p>
    <w:p w14:paraId="5F4A8D2D" w14:textId="3AC49B41" w:rsidR="00CC7241" w:rsidRPr="00CC7241" w:rsidRDefault="00CC7241" w:rsidP="00CC7241">
      <w:pPr>
        <w:pStyle w:val="Text"/>
        <w:rPr>
          <w:rFonts w:ascii="Trebuchet MS" w:hAnsi="Trebuchet MS"/>
        </w:rPr>
      </w:pPr>
      <w:r>
        <w:rPr>
          <w:rFonts w:ascii="Trebuchet MS" w:hAnsi="Trebuchet MS"/>
        </w:rPr>
        <w:t>A</w:t>
      </w:r>
      <w:r w:rsidRPr="00CC7241">
        <w:rPr>
          <w:rFonts w:ascii="Trebuchet MS" w:hAnsi="Trebuchet MS"/>
        </w:rPr>
        <w:t xml:space="preserve">rguments about God’s existence operate as though we don’t actually </w:t>
      </w:r>
      <w:r w:rsidRPr="00CC7241">
        <w:rPr>
          <w:rFonts w:ascii="Trebuchet MS" w:hAnsi="Trebuchet MS"/>
          <w:i/>
        </w:rPr>
        <w:t>experience</w:t>
      </w:r>
      <w:r w:rsidRPr="00CC7241">
        <w:rPr>
          <w:rFonts w:ascii="Trebuchet MS" w:hAnsi="Trebuchet MS"/>
        </w:rPr>
        <w:t xml:space="preserve"> God, that God is absent from our experience – which is why we need to prove his existence. For example, you would say you ‘believe that’ the book is red more naturally if you can’t see it; otherwise, you would simply say that you can see it is red. So what about religious experience?</w:t>
      </w:r>
    </w:p>
    <w:p w14:paraId="4A16D336" w14:textId="77777777" w:rsidR="00CC7241" w:rsidRPr="00CC7241" w:rsidRDefault="00CC7241" w:rsidP="00CC7241">
      <w:pPr>
        <w:pStyle w:val="Text"/>
        <w:rPr>
          <w:rFonts w:ascii="Trebuchet MS" w:hAnsi="Trebuchet MS"/>
        </w:rPr>
      </w:pPr>
    </w:p>
    <w:p w14:paraId="68B18C9E" w14:textId="77777777" w:rsidR="00CC7241" w:rsidRPr="00CC7241" w:rsidRDefault="00CC7241" w:rsidP="00CC7241">
      <w:pPr>
        <w:pStyle w:val="Text"/>
        <w:rPr>
          <w:rFonts w:ascii="Trebuchet MS" w:hAnsi="Trebuchet MS"/>
        </w:rPr>
      </w:pPr>
      <w:r w:rsidRPr="00CC7241">
        <w:rPr>
          <w:rFonts w:ascii="Trebuchet MS" w:hAnsi="Trebuchet MS"/>
        </w:rPr>
        <w:t xml:space="preserve">By ‘religious experience’ here, I don’t mean some unusual or mystical experience of ‘communing’ with God, but something more ordinary: </w:t>
      </w:r>
    </w:p>
    <w:p w14:paraId="7E6C669B" w14:textId="77777777" w:rsidR="00CC7241" w:rsidRPr="00CC7241" w:rsidRDefault="00CC7241" w:rsidP="00CC7241">
      <w:pPr>
        <w:pStyle w:val="Text"/>
        <w:rPr>
          <w:rFonts w:ascii="Trebuchet MS" w:hAnsi="Trebuchet MS"/>
        </w:rPr>
      </w:pPr>
    </w:p>
    <w:p w14:paraId="1FA94704" w14:textId="77777777" w:rsidR="00CC7241" w:rsidRPr="00CC7241" w:rsidRDefault="00CC7241" w:rsidP="00CC7241">
      <w:pPr>
        <w:pStyle w:val="Quotation"/>
        <w:rPr>
          <w:sz w:val="24"/>
        </w:rPr>
      </w:pPr>
      <w:r w:rsidRPr="00CC7241">
        <w:rPr>
          <w:sz w:val="24"/>
        </w:rPr>
        <w:t>religious differs from non-religious experience, not as the awareness of a different world, but as a different way of experiencing the same world. Events which can be experienced as having a purely natural significance are experienced by the religious mind as having also and at the same time religious significance and as mediating the presence and activity of God’. (John Hick, ‘Rational Theistic Belief without Proofs’)</w:t>
      </w:r>
    </w:p>
    <w:p w14:paraId="3C161DEC" w14:textId="77777777" w:rsidR="00CC7241" w:rsidRPr="00CC7241" w:rsidRDefault="00CC7241" w:rsidP="00CC7241">
      <w:pPr>
        <w:pStyle w:val="Text"/>
        <w:rPr>
          <w:rFonts w:ascii="Trebuchet MS" w:hAnsi="Trebuchet MS"/>
        </w:rPr>
      </w:pPr>
    </w:p>
    <w:p w14:paraId="3786CCCA" w14:textId="77777777" w:rsidR="00CC7241" w:rsidRPr="00CC7241" w:rsidRDefault="00CC7241" w:rsidP="00CC7241">
      <w:pPr>
        <w:pStyle w:val="Heading1"/>
        <w:rPr>
          <w:rFonts w:ascii="Trebuchet MS" w:hAnsi="Trebuchet MS"/>
          <w:szCs w:val="24"/>
        </w:rPr>
      </w:pPr>
      <w:r w:rsidRPr="00CC7241">
        <w:rPr>
          <w:rFonts w:ascii="Trebuchet MS" w:hAnsi="Trebuchet MS"/>
          <w:szCs w:val="24"/>
        </w:rPr>
        <w:t>Perceptual experiencing-as</w:t>
      </w:r>
    </w:p>
    <w:p w14:paraId="496B23FE" w14:textId="77777777" w:rsidR="00CC7241" w:rsidRPr="00CC7241" w:rsidRDefault="00CC7241" w:rsidP="00CC7241">
      <w:pPr>
        <w:pStyle w:val="Text"/>
        <w:rPr>
          <w:rFonts w:ascii="Trebuchet MS" w:hAnsi="Trebuchet MS"/>
        </w:rPr>
      </w:pPr>
      <w:r w:rsidRPr="00CC7241">
        <w:rPr>
          <w:rFonts w:ascii="Trebuchet MS" w:hAnsi="Trebuchet MS"/>
        </w:rPr>
        <w:t xml:space="preserve">In ‘Religious Faith as Experiencing-as’, Hick develops an analogy between perception and experience of God. He starts with the idea that perception is not simply registering what is ‘out there’ neutrally. There is a well-known phenomenon (the Necker Cube) in which one set of lines can be seen in two different ways. We can also see patterns in natural objects, as when we see a face or a fish in a cloud. We don’t just see, we ‘see-as’ or ‘see-in’. We see the lines </w:t>
      </w:r>
      <w:r w:rsidRPr="00CC7241">
        <w:rPr>
          <w:rFonts w:ascii="Trebuchet MS" w:hAnsi="Trebuchet MS"/>
          <w:i/>
        </w:rPr>
        <w:t>as</w:t>
      </w:r>
      <w:r w:rsidRPr="00CC7241">
        <w:rPr>
          <w:rFonts w:ascii="Trebuchet MS" w:hAnsi="Trebuchet MS"/>
        </w:rPr>
        <w:t xml:space="preserve"> a cube facing this way or that; we see a face </w:t>
      </w:r>
      <w:r w:rsidRPr="00CC7241">
        <w:rPr>
          <w:rFonts w:ascii="Trebuchet MS" w:hAnsi="Trebuchet MS"/>
          <w:i/>
        </w:rPr>
        <w:t>in</w:t>
      </w:r>
      <w:r w:rsidRPr="00CC7241">
        <w:rPr>
          <w:rFonts w:ascii="Trebuchet MS" w:hAnsi="Trebuchet MS"/>
        </w:rPr>
        <w:t xml:space="preserve"> the cloud (we can also say we see the shape of the cloud </w:t>
      </w:r>
      <w:r w:rsidRPr="00CC7241">
        <w:rPr>
          <w:rFonts w:ascii="Trebuchet MS" w:hAnsi="Trebuchet MS"/>
          <w:i/>
        </w:rPr>
        <w:t>as</w:t>
      </w:r>
      <w:r w:rsidRPr="00CC7241">
        <w:rPr>
          <w:rFonts w:ascii="Trebuchet MS" w:hAnsi="Trebuchet MS"/>
        </w:rPr>
        <w:t xml:space="preserve"> a face).</w:t>
      </w:r>
    </w:p>
    <w:p w14:paraId="2E50B379" w14:textId="77777777" w:rsidR="00CC7241" w:rsidRPr="00CC7241" w:rsidRDefault="00CC7241" w:rsidP="00CC7241">
      <w:pPr>
        <w:pStyle w:val="Text"/>
        <w:rPr>
          <w:rFonts w:ascii="Trebuchet MS" w:hAnsi="Trebuchet MS"/>
        </w:rPr>
      </w:pPr>
    </w:p>
    <w:p w14:paraId="6901E785" w14:textId="77777777" w:rsidR="00CC7241" w:rsidRPr="00CC7241" w:rsidRDefault="00CC7241" w:rsidP="00CC7241">
      <w:pPr>
        <w:pStyle w:val="Text"/>
        <w:rPr>
          <w:rFonts w:ascii="Trebuchet MS" w:hAnsi="Trebuchet MS"/>
        </w:rPr>
      </w:pPr>
      <w:r w:rsidRPr="00CC7241">
        <w:rPr>
          <w:rFonts w:ascii="Trebuchet MS" w:hAnsi="Trebuchet MS"/>
        </w:rPr>
        <w:t xml:space="preserve">We can argue that all seeing involves seeing as. This is hard to accept at first. Do you see this book as a book? But consider what someone who has never seen a book, whose culture has no books, would experience. They wouldn’t see the book </w:t>
      </w:r>
      <w:r w:rsidRPr="00CC7241">
        <w:rPr>
          <w:rFonts w:ascii="Trebuchet MS" w:hAnsi="Trebuchet MS"/>
          <w:i/>
        </w:rPr>
        <w:t>as</w:t>
      </w:r>
      <w:r w:rsidRPr="00CC7241">
        <w:rPr>
          <w:rFonts w:ascii="Trebuchet MS" w:hAnsi="Trebuchet MS"/>
        </w:rPr>
        <w:t xml:space="preserve"> a book. For example, if they don’t have the concept BOOK, they can’t. And we can extend this idea from seeing to all experiencing – we hear a sound as bird-song, smell a smell as coffee, and so on. Perception, on this account, always involves </w:t>
      </w:r>
      <w:r w:rsidRPr="00CC7241">
        <w:rPr>
          <w:rFonts w:ascii="Trebuchet MS" w:hAnsi="Trebuchet MS"/>
          <w:i/>
        </w:rPr>
        <w:t>recognition</w:t>
      </w:r>
      <w:r w:rsidRPr="00CC7241">
        <w:rPr>
          <w:rFonts w:ascii="Trebuchet MS" w:hAnsi="Trebuchet MS"/>
        </w:rPr>
        <w:t xml:space="preserve"> (or mis-recognition), bringing experience under a concept.</w:t>
      </w:r>
    </w:p>
    <w:p w14:paraId="091BCCDC" w14:textId="77777777" w:rsidR="00CC7241" w:rsidRPr="00CC7241" w:rsidRDefault="00CC7241" w:rsidP="00CC7241">
      <w:pPr>
        <w:pStyle w:val="Text"/>
        <w:rPr>
          <w:rFonts w:ascii="Trebuchet MS" w:hAnsi="Trebuchet MS"/>
        </w:rPr>
      </w:pPr>
    </w:p>
    <w:p w14:paraId="0A8ECAD9" w14:textId="77777777" w:rsidR="00CC7241" w:rsidRPr="00CC7241" w:rsidRDefault="00CC7241" w:rsidP="00CC7241">
      <w:pPr>
        <w:pStyle w:val="Text"/>
        <w:rPr>
          <w:rFonts w:ascii="Trebuchet MS" w:hAnsi="Trebuchet MS"/>
        </w:rPr>
      </w:pPr>
      <w:r w:rsidRPr="00CC7241">
        <w:rPr>
          <w:rFonts w:ascii="Trebuchet MS" w:hAnsi="Trebuchet MS"/>
        </w:rPr>
        <w:t xml:space="preserve">Sometimes, as with the Necker cube, we can only see something as this </w:t>
      </w:r>
      <w:r w:rsidRPr="00CC7241">
        <w:rPr>
          <w:rFonts w:ascii="Trebuchet MS" w:hAnsi="Trebuchet MS"/>
          <w:i/>
        </w:rPr>
        <w:t>or</w:t>
      </w:r>
      <w:r w:rsidRPr="00CC7241">
        <w:rPr>
          <w:rFonts w:ascii="Trebuchet MS" w:hAnsi="Trebuchet MS"/>
        </w:rPr>
        <w:t xml:space="preserve"> that, e.g. we</w:t>
      </w:r>
      <w:r w:rsidRPr="00CC7241">
        <w:rPr>
          <w:rFonts w:ascii="Trebuchet MS" w:hAnsi="Trebuchet MS"/>
          <w:i/>
        </w:rPr>
        <w:t xml:space="preserve"> </w:t>
      </w:r>
      <w:r w:rsidRPr="00CC7241">
        <w:rPr>
          <w:rFonts w:ascii="Trebuchet MS" w:hAnsi="Trebuchet MS"/>
        </w:rPr>
        <w:t xml:space="preserve">see the cube as facing one way </w:t>
      </w:r>
      <w:r w:rsidRPr="00CC7241">
        <w:rPr>
          <w:rFonts w:ascii="Trebuchet MS" w:hAnsi="Trebuchet MS"/>
          <w:i/>
        </w:rPr>
        <w:t>or</w:t>
      </w:r>
      <w:r w:rsidRPr="00CC7241">
        <w:rPr>
          <w:rFonts w:ascii="Trebuchet MS" w:hAnsi="Trebuchet MS"/>
        </w:rPr>
        <w:t xml:space="preserve"> the other. But with other seeing-as, we can add layers of perceptual recognition – you can see the object in the sky as a bird and as a hawk and as a hawk hunting.</w:t>
      </w:r>
    </w:p>
    <w:p w14:paraId="23089FC8" w14:textId="77777777" w:rsidR="00CC7241" w:rsidRPr="00CC7241" w:rsidRDefault="00CC7241" w:rsidP="00CC7241">
      <w:pPr>
        <w:pStyle w:val="Text"/>
        <w:rPr>
          <w:rFonts w:ascii="Trebuchet MS" w:hAnsi="Trebuchet MS"/>
        </w:rPr>
      </w:pPr>
    </w:p>
    <w:p w14:paraId="1CE670EF" w14:textId="70A0B251" w:rsidR="00CC7241" w:rsidRPr="00CC7241" w:rsidRDefault="00CC7241" w:rsidP="00CC7241">
      <w:pPr>
        <w:pStyle w:val="Heading1"/>
        <w:rPr>
          <w:rFonts w:ascii="Trebuchet MS" w:hAnsi="Trebuchet MS"/>
          <w:szCs w:val="24"/>
        </w:rPr>
      </w:pPr>
      <w:r w:rsidRPr="00CC7241">
        <w:rPr>
          <w:rFonts w:ascii="Trebuchet MS" w:hAnsi="Trebuchet MS"/>
          <w:szCs w:val="24"/>
        </w:rPr>
        <w:t>Religious experience</w:t>
      </w:r>
      <w:r w:rsidR="00D9751A">
        <w:rPr>
          <w:rFonts w:ascii="Trebuchet MS" w:hAnsi="Trebuchet MS"/>
          <w:szCs w:val="24"/>
        </w:rPr>
        <w:t xml:space="preserve"> as experiencing-As</w:t>
      </w:r>
    </w:p>
    <w:p w14:paraId="4F8739EB" w14:textId="77777777" w:rsidR="00CC7241" w:rsidRPr="00CC7241" w:rsidRDefault="00CC7241" w:rsidP="00CC7241">
      <w:pPr>
        <w:pStyle w:val="Text"/>
        <w:rPr>
          <w:rFonts w:ascii="Trebuchet MS" w:hAnsi="Trebuchet MS"/>
        </w:rPr>
      </w:pPr>
      <w:r w:rsidRPr="00CC7241">
        <w:rPr>
          <w:rFonts w:ascii="Trebuchet MS" w:hAnsi="Trebuchet MS"/>
        </w:rPr>
        <w:t xml:space="preserve">Hick then argues that religious experience is a kind of experiencing-as. The religious person experiences human life and history as an encounter with God, as well as an encounter with the physical world and other people. It is an </w:t>
      </w:r>
      <w:r w:rsidRPr="00CC7241">
        <w:rPr>
          <w:rFonts w:ascii="Trebuchet MS" w:hAnsi="Trebuchet MS"/>
          <w:i/>
        </w:rPr>
        <w:t>additional layer</w:t>
      </w:r>
      <w:r w:rsidRPr="00CC7241">
        <w:rPr>
          <w:rFonts w:ascii="Trebuchet MS" w:hAnsi="Trebuchet MS"/>
        </w:rPr>
        <w:t xml:space="preserve"> of experiencing-as, a perspective on life and the world that the non-religious person doesn’t have.</w:t>
      </w:r>
    </w:p>
    <w:p w14:paraId="11C5D5F3" w14:textId="77777777" w:rsidR="00CC7241" w:rsidRPr="00CC7241" w:rsidRDefault="00CC7241" w:rsidP="00CC7241">
      <w:pPr>
        <w:pStyle w:val="Text"/>
        <w:rPr>
          <w:rFonts w:ascii="Trebuchet MS" w:hAnsi="Trebuchet MS"/>
        </w:rPr>
      </w:pPr>
    </w:p>
    <w:p w14:paraId="6DAD7C21" w14:textId="77777777" w:rsidR="00CC7241" w:rsidRPr="00CC7241" w:rsidRDefault="00CC7241" w:rsidP="00CC7241">
      <w:pPr>
        <w:pStyle w:val="Text"/>
        <w:rPr>
          <w:rFonts w:ascii="Trebuchet MS" w:hAnsi="Trebuchet MS"/>
        </w:rPr>
      </w:pPr>
      <w:r w:rsidRPr="00CC7241">
        <w:rPr>
          <w:rFonts w:ascii="Trebuchet MS" w:hAnsi="Trebuchet MS"/>
        </w:rPr>
        <w:t xml:space="preserve">But is religious experience really analogous to perceptual experiencing-as? Or is it a </w:t>
      </w:r>
      <w:r w:rsidRPr="00CC7241">
        <w:rPr>
          <w:rFonts w:ascii="Trebuchet MS" w:hAnsi="Trebuchet MS"/>
          <w:i/>
        </w:rPr>
        <w:t>subjective projection</w:t>
      </w:r>
      <w:r w:rsidRPr="00CC7241">
        <w:rPr>
          <w:rFonts w:ascii="Trebuchet MS" w:hAnsi="Trebuchet MS"/>
        </w:rPr>
        <w:t xml:space="preserve"> of religious meaning onto natural events? Hick accepts that there are disanalogies, e.g. religious experience isn’t sensory perception and we aren’t perceiving types of object but the significance of events. But, he argues, there is an important continuity. </w:t>
      </w:r>
    </w:p>
    <w:p w14:paraId="337FE850" w14:textId="77777777" w:rsidR="00CC7241" w:rsidRPr="00CC7241" w:rsidRDefault="00CC7241" w:rsidP="00CC7241">
      <w:pPr>
        <w:pStyle w:val="Text"/>
        <w:rPr>
          <w:rFonts w:ascii="Trebuchet MS" w:hAnsi="Trebuchet MS"/>
        </w:rPr>
      </w:pPr>
    </w:p>
    <w:p w14:paraId="4D00154F" w14:textId="77777777" w:rsidR="00CC7241" w:rsidRPr="00CC7241" w:rsidRDefault="00CC7241" w:rsidP="00CC7241">
      <w:pPr>
        <w:pStyle w:val="Text"/>
        <w:rPr>
          <w:rFonts w:ascii="Trebuchet MS" w:hAnsi="Trebuchet MS"/>
        </w:rPr>
      </w:pPr>
      <w:r w:rsidRPr="00CC7241">
        <w:rPr>
          <w:rFonts w:ascii="Trebuchet MS" w:hAnsi="Trebuchet MS"/>
        </w:rPr>
        <w:t xml:space="preserve">First, </w:t>
      </w:r>
      <w:r w:rsidRPr="00CC7241">
        <w:rPr>
          <w:rFonts w:ascii="Trebuchet MS" w:hAnsi="Trebuchet MS"/>
          <w:i/>
        </w:rPr>
        <w:t>all</w:t>
      </w:r>
      <w:r w:rsidRPr="00CC7241">
        <w:rPr>
          <w:rFonts w:ascii="Trebuchet MS" w:hAnsi="Trebuchet MS"/>
        </w:rPr>
        <w:t xml:space="preserve"> perception involves making sense of what is perceived (through seeing-as, through applying concepts). Part of this involves how we respond to what we see. To see x as y – e.g. this object as a fork – involves an appropriate response in how we are disposed to act in relation to it, e.g. use it to eat with, not to write with. We shouldn’t think, then, that we can contrast religious experience as a projection with ‘neutral’ perceptual experience. No experience is neutral.</w:t>
      </w:r>
    </w:p>
    <w:p w14:paraId="173E6625" w14:textId="77777777" w:rsidR="00CC7241" w:rsidRPr="00CC7241" w:rsidRDefault="00CC7241" w:rsidP="00CC7241">
      <w:pPr>
        <w:pStyle w:val="Text"/>
        <w:rPr>
          <w:rFonts w:ascii="Trebuchet MS" w:hAnsi="Trebuchet MS"/>
        </w:rPr>
      </w:pPr>
    </w:p>
    <w:p w14:paraId="4FE1693D" w14:textId="77777777" w:rsidR="00CC7241" w:rsidRPr="00CC7241" w:rsidRDefault="00CC7241" w:rsidP="00CC7241">
      <w:pPr>
        <w:pStyle w:val="Text"/>
        <w:rPr>
          <w:rFonts w:ascii="Trebuchet MS" w:hAnsi="Trebuchet MS"/>
        </w:rPr>
      </w:pPr>
      <w:r w:rsidRPr="00CC7241">
        <w:rPr>
          <w:rFonts w:ascii="Trebuchet MS" w:hAnsi="Trebuchet MS"/>
        </w:rPr>
        <w:t xml:space="preserve">Second, we don’t just recognise objects, we recognise situations, as shown by our immediate appropriate responses to them. For example, seeing someone hanging off the edge of a cliff in fear initiates a </w:t>
      </w:r>
      <w:r w:rsidRPr="00CC7241">
        <w:rPr>
          <w:rFonts w:ascii="Trebuchet MS" w:hAnsi="Trebuchet MS"/>
          <w:i/>
        </w:rPr>
        <w:t>moral</w:t>
      </w:r>
      <w:r w:rsidRPr="00CC7241">
        <w:rPr>
          <w:rFonts w:ascii="Trebuchet MS" w:hAnsi="Trebuchet MS"/>
        </w:rPr>
        <w:t xml:space="preserve"> response – of helping them. We recognise this a situation of moral significance. </w:t>
      </w:r>
    </w:p>
    <w:p w14:paraId="158F3429" w14:textId="77777777" w:rsidR="00CC7241" w:rsidRPr="00CC7241" w:rsidRDefault="00CC7241" w:rsidP="00CC7241">
      <w:pPr>
        <w:pStyle w:val="Text"/>
        <w:rPr>
          <w:rFonts w:ascii="Trebuchet MS" w:hAnsi="Trebuchet MS"/>
        </w:rPr>
      </w:pPr>
    </w:p>
    <w:p w14:paraId="31D0CB0F" w14:textId="77777777" w:rsidR="00CC7241" w:rsidRPr="00CC7241" w:rsidRDefault="00CC7241" w:rsidP="00CC7241">
      <w:pPr>
        <w:pStyle w:val="Text"/>
        <w:rPr>
          <w:rFonts w:ascii="Trebuchet MS" w:hAnsi="Trebuchet MS"/>
        </w:rPr>
      </w:pPr>
      <w:r w:rsidRPr="00CC7241">
        <w:rPr>
          <w:rFonts w:ascii="Trebuchet MS" w:hAnsi="Trebuchet MS"/>
        </w:rPr>
        <w:t>Religious experience is a matter of recognising the religious significance of events or situations, e.g. having a sense of God in the vastness or beauty of the natural world. This involves a change in how we are disposed to act; Hick argues that all religious experience disposes us to the ‘service of God’. For Christians, this is indicated by Jesus’ moral teaching. This response is not an optional extra – it is just as much part of experiencing human life and history as an encounter with God as using a fork to eat with is part of seeing it as a fork.</w:t>
      </w:r>
    </w:p>
    <w:p w14:paraId="320AC0D6" w14:textId="77777777" w:rsidR="00CC7241" w:rsidRPr="00CC7241" w:rsidRDefault="00CC7241" w:rsidP="00CC7241">
      <w:pPr>
        <w:pStyle w:val="Text"/>
        <w:rPr>
          <w:rFonts w:ascii="Trebuchet MS" w:hAnsi="Trebuchet MS"/>
        </w:rPr>
      </w:pPr>
    </w:p>
    <w:p w14:paraId="6194A908" w14:textId="77777777" w:rsidR="00CC7241" w:rsidRPr="00CC7241" w:rsidRDefault="00CC7241" w:rsidP="00CC7241">
      <w:pPr>
        <w:pStyle w:val="Text"/>
        <w:rPr>
          <w:rFonts w:ascii="Trebuchet MS" w:hAnsi="Trebuchet MS"/>
        </w:rPr>
      </w:pPr>
      <w:r w:rsidRPr="00CC7241">
        <w:rPr>
          <w:rFonts w:ascii="Trebuchet MS" w:hAnsi="Trebuchet MS"/>
        </w:rPr>
        <w:t xml:space="preserve">However, we can object that the analogy still doesn’t work. While Hick is right that all recognition involves applying concepts to experience, we don’t need to accept that all recognition is similar to perceptual recognition. If recognising the religious significance of a situation was analogous to recognising a fork, then we can ask ‘Which sense do we use? Is there a ‘religious sense’? How does this religious sense detect religious significance (eyes detect light from the fork)?’. Hick doesn’t suggest we can give answers to these questions. </w:t>
      </w:r>
    </w:p>
    <w:p w14:paraId="1F258933" w14:textId="77777777" w:rsidR="00CC7241" w:rsidRPr="00CC7241" w:rsidRDefault="00CC7241" w:rsidP="00CC7241">
      <w:pPr>
        <w:pStyle w:val="Text"/>
        <w:rPr>
          <w:rFonts w:ascii="Trebuchet MS" w:hAnsi="Trebuchet MS"/>
        </w:rPr>
      </w:pPr>
    </w:p>
    <w:p w14:paraId="7E0D3593" w14:textId="77777777" w:rsidR="00CC7241" w:rsidRPr="00CC7241" w:rsidRDefault="00CC7241" w:rsidP="00CC7241">
      <w:pPr>
        <w:pStyle w:val="Text"/>
        <w:rPr>
          <w:rFonts w:ascii="Trebuchet MS" w:hAnsi="Trebuchet MS"/>
        </w:rPr>
      </w:pPr>
      <w:r w:rsidRPr="00CC7241">
        <w:rPr>
          <w:rFonts w:ascii="Trebuchet MS" w:hAnsi="Trebuchet MS"/>
        </w:rPr>
        <w:t xml:space="preserve">Talk of ‘recognition’ or ‘experiencing-as’ in these contexts is not analogous to perception; it is </w:t>
      </w:r>
      <w:r w:rsidRPr="00CC7241">
        <w:rPr>
          <w:rFonts w:ascii="Trebuchet MS" w:hAnsi="Trebuchet MS"/>
          <w:i/>
        </w:rPr>
        <w:t>metaphorical</w:t>
      </w:r>
      <w:r w:rsidRPr="00CC7241">
        <w:rPr>
          <w:rFonts w:ascii="Trebuchet MS" w:hAnsi="Trebuchet MS"/>
        </w:rPr>
        <w:t>. So we shouldn’t defend the claim that religious experience is experiencing the world as an encounter with God by analogy with perception.</w:t>
      </w:r>
    </w:p>
    <w:p w14:paraId="5BCD569D" w14:textId="77777777" w:rsidR="00CC7241" w:rsidRPr="00CC7241" w:rsidDel="005073C4" w:rsidRDefault="00CC7241" w:rsidP="00CC7241">
      <w:pPr>
        <w:pStyle w:val="Text"/>
        <w:rPr>
          <w:rFonts w:ascii="Trebuchet MS" w:hAnsi="Trebuchet MS"/>
        </w:rPr>
      </w:pPr>
    </w:p>
    <w:p w14:paraId="2B2BFFD9" w14:textId="7F668EDD" w:rsidR="00F854CF" w:rsidRPr="00CC7241" w:rsidRDefault="00CC7241" w:rsidP="00F854CF">
      <w:pPr>
        <w:pStyle w:val="Heading1"/>
        <w:rPr>
          <w:rFonts w:ascii="Trebuchet MS" w:hAnsi="Trebuchet MS"/>
          <w:szCs w:val="24"/>
        </w:rPr>
      </w:pPr>
      <w:r>
        <w:rPr>
          <w:rFonts w:ascii="Trebuchet MS" w:hAnsi="Trebuchet MS"/>
          <w:szCs w:val="24"/>
        </w:rPr>
        <w:t xml:space="preserve">Is God a </w:t>
      </w:r>
      <w:r w:rsidR="00F854CF" w:rsidRPr="00CC7241">
        <w:rPr>
          <w:rFonts w:ascii="Trebuchet MS" w:hAnsi="Trebuchet MS"/>
          <w:szCs w:val="24"/>
        </w:rPr>
        <w:t>‘hypothesis’</w:t>
      </w:r>
      <w:r>
        <w:rPr>
          <w:rFonts w:ascii="Trebuchet MS" w:hAnsi="Trebuchet MS"/>
          <w:szCs w:val="24"/>
        </w:rPr>
        <w:t>?</w:t>
      </w:r>
    </w:p>
    <w:p w14:paraId="5202E2CD" w14:textId="2C1A7AF9" w:rsidR="00F854CF" w:rsidRPr="00CC7241" w:rsidRDefault="00F854CF" w:rsidP="00F854CF">
      <w:pPr>
        <w:pStyle w:val="Text"/>
        <w:rPr>
          <w:rFonts w:ascii="Trebuchet MS" w:hAnsi="Trebuchet MS"/>
        </w:rPr>
      </w:pPr>
      <w:r w:rsidRPr="00CC7241">
        <w:rPr>
          <w:rFonts w:ascii="Trebuchet MS" w:hAnsi="Trebuchet MS"/>
        </w:rPr>
        <w:t xml:space="preserve">A ‘hypothesis’ is a proposal that needs to be tested (and confirmed or rejected) by experience. We use experience to infer its truth or falsehood; its truth is not something that we can experience directly. </w:t>
      </w:r>
      <w:r w:rsidR="00D9751A">
        <w:rPr>
          <w:rFonts w:ascii="Trebuchet MS" w:hAnsi="Trebuchet MS"/>
        </w:rPr>
        <w:t>If we don’t have direct experience of God akin to perceptual experience, then i</w:t>
      </w:r>
      <w:r w:rsidR="00CC7241">
        <w:rPr>
          <w:rFonts w:ascii="Trebuchet MS" w:hAnsi="Trebuchet MS"/>
        </w:rPr>
        <w:t xml:space="preserve">s the view that ‘God exists’ </w:t>
      </w:r>
      <w:r w:rsidRPr="00CC7241">
        <w:rPr>
          <w:rFonts w:ascii="Trebuchet MS" w:hAnsi="Trebuchet MS"/>
        </w:rPr>
        <w:t>a hypothesis?</w:t>
      </w:r>
    </w:p>
    <w:p w14:paraId="53C3AA70" w14:textId="77777777" w:rsidR="00F854CF" w:rsidRPr="00CC7241" w:rsidRDefault="00F854CF" w:rsidP="00F854CF">
      <w:pPr>
        <w:pStyle w:val="Text"/>
        <w:rPr>
          <w:rFonts w:ascii="Trebuchet MS" w:hAnsi="Trebuchet MS"/>
        </w:rPr>
      </w:pPr>
    </w:p>
    <w:p w14:paraId="146E6DF8" w14:textId="77777777" w:rsidR="00F854CF" w:rsidRPr="00CC7241" w:rsidRDefault="00F854CF" w:rsidP="00F854CF">
      <w:pPr>
        <w:pStyle w:val="Text"/>
        <w:rPr>
          <w:rFonts w:ascii="Trebuchet MS" w:hAnsi="Trebuchet MS"/>
        </w:rPr>
      </w:pPr>
      <w:r w:rsidRPr="00CC7241">
        <w:rPr>
          <w:rFonts w:ascii="Trebuchet MS" w:hAnsi="Trebuchet MS"/>
        </w:rPr>
        <w:t>When we test a scientific hypothesis, we look for experiences that will show that it is true or false. If ‘God exists’ is an empirical hypothesis, a statement of fact, then it must be possible to imagine the conditions under which we would say that it was not a fact. For example, the theory of evolution by natural selection is a hypothesis; if aliens came to Earth and demonstrated that they had planted ‘fossils’ (which actually they had made) for us to find, we would give up the theory. What would make us give up the claim that ‘God exists’? We can argue that there are no tests of this kind, so ‘God exists’ is not a hypothesis.</w:t>
      </w:r>
    </w:p>
    <w:p w14:paraId="6B7D906B" w14:textId="77777777" w:rsidR="00F854CF" w:rsidRPr="00CC7241" w:rsidRDefault="00F854CF" w:rsidP="00F854CF">
      <w:pPr>
        <w:pStyle w:val="Text"/>
        <w:rPr>
          <w:rFonts w:ascii="Trebuchet MS" w:hAnsi="Trebuchet MS"/>
        </w:rPr>
      </w:pPr>
    </w:p>
    <w:p w14:paraId="4B1A4418" w14:textId="4059B0EE" w:rsidR="00F854CF" w:rsidRPr="00CC7241" w:rsidRDefault="00F854CF" w:rsidP="00F854CF">
      <w:pPr>
        <w:pStyle w:val="Text"/>
        <w:rPr>
          <w:rFonts w:ascii="Trebuchet MS" w:hAnsi="Trebuchet MS"/>
        </w:rPr>
      </w:pPr>
      <w:r w:rsidRPr="00CC7241">
        <w:rPr>
          <w:rFonts w:ascii="Trebuchet MS" w:hAnsi="Trebuchet MS"/>
        </w:rPr>
        <w:t>We could reply</w:t>
      </w:r>
      <w:r w:rsidR="00D9751A">
        <w:rPr>
          <w:rFonts w:ascii="Trebuchet MS" w:hAnsi="Trebuchet MS"/>
        </w:rPr>
        <w:t>, following Hick,</w:t>
      </w:r>
      <w:r w:rsidRPr="00CC7241">
        <w:rPr>
          <w:rFonts w:ascii="Trebuchet MS" w:hAnsi="Trebuchet MS"/>
        </w:rPr>
        <w:t xml:space="preserve"> that God’s existence is experienced directly, in our experience of human life as an encounter with God. It is no more a hypothesis than the claim that ‘this is a fork’.</w:t>
      </w:r>
    </w:p>
    <w:p w14:paraId="49B323DC" w14:textId="77777777" w:rsidR="00F854CF" w:rsidRPr="00CC7241" w:rsidRDefault="00F854CF" w:rsidP="00F854CF">
      <w:pPr>
        <w:pStyle w:val="Text"/>
        <w:rPr>
          <w:rFonts w:ascii="Trebuchet MS" w:hAnsi="Trebuchet MS"/>
        </w:rPr>
      </w:pPr>
    </w:p>
    <w:p w14:paraId="78739246" w14:textId="77777777" w:rsidR="00F854CF" w:rsidRPr="00CC7241" w:rsidRDefault="00F854CF" w:rsidP="00F854CF">
      <w:pPr>
        <w:pStyle w:val="Text"/>
        <w:rPr>
          <w:rFonts w:ascii="Trebuchet MS" w:hAnsi="Trebuchet MS"/>
        </w:rPr>
      </w:pPr>
      <w:r w:rsidRPr="00CC7241">
        <w:rPr>
          <w:rFonts w:ascii="Trebuchet MS" w:hAnsi="Trebuchet MS"/>
        </w:rPr>
        <w:t>But, to this, we can object that the same argument applies. Just as with hypotheses, when we talk of what we can experience directly, we can imagine situations in which we would withdraw our claim that ‘this is an x’. The fork may be a hologram; or it could be a clever illusion, so that when we turn it around, we see it is not a fork at all, but a knife that has been painted; and so on. To be able to say ‘this is a fork’ meaningfully, we have to know what kinds of situation would lead us to say ‘this is not a fork’. So if we say ‘human life is an encounter with God’, what kinds of experience would lead us to say, ‘no, it was just an illusion, it isn’t an encounter with God’? There is nothing that means one has to withdraw one’s claim about encountering God. This suggests that ‘God exists’ is not something we know directly from experience.</w:t>
      </w:r>
    </w:p>
    <w:p w14:paraId="04BF8217" w14:textId="77777777" w:rsidR="00F854CF" w:rsidRPr="00CC7241" w:rsidRDefault="00F854CF" w:rsidP="00F854CF">
      <w:pPr>
        <w:pStyle w:val="Text"/>
        <w:rPr>
          <w:rFonts w:ascii="Trebuchet MS" w:hAnsi="Trebuchet MS"/>
        </w:rPr>
      </w:pPr>
    </w:p>
    <w:p w14:paraId="41EE6D2B" w14:textId="77777777" w:rsidR="00F854CF" w:rsidRPr="00CC7241" w:rsidRDefault="00F854CF" w:rsidP="00F854CF">
      <w:pPr>
        <w:pStyle w:val="Text"/>
        <w:rPr>
          <w:rFonts w:ascii="Trebuchet MS" w:hAnsi="Trebuchet MS"/>
        </w:rPr>
      </w:pPr>
      <w:r w:rsidRPr="00CC7241">
        <w:rPr>
          <w:rFonts w:ascii="Trebuchet MS" w:hAnsi="Trebuchet MS"/>
        </w:rPr>
        <w:t>However, we can object that this argument has a very limited view of meaning. It assumes that for ‘God exists’ to state a fact, we have to know how to test whether that fact is true or false against experience (and sensory experience at that). But we could argue that the meaning of ‘God exists’ is related to and secured by making sense of facts. For example, we could use the argument from design to infer that God’s existence is the best explanation for the nature of the universe (or use the problem of evil to infer that God does not exist). In this case ‘God exists’ is a hypothesis, but not a scientific hypothesis, since we use philosophy, not science, to test it. What we mean by ‘God exists’ will be shown by these arguments.</w:t>
      </w:r>
    </w:p>
    <w:p w14:paraId="72DEE907" w14:textId="71DA75F7" w:rsidR="00F854CF" w:rsidRDefault="00F854CF" w:rsidP="00F854CF">
      <w:pPr>
        <w:pStyle w:val="Text"/>
        <w:rPr>
          <w:rFonts w:ascii="Trebuchet MS" w:hAnsi="Trebuchet MS"/>
        </w:rPr>
      </w:pPr>
    </w:p>
    <w:p w14:paraId="7966C664" w14:textId="2969988A" w:rsidR="00D9751A" w:rsidRPr="00CC7241" w:rsidRDefault="00D9751A" w:rsidP="00D9751A">
      <w:pPr>
        <w:pStyle w:val="Text"/>
        <w:rPr>
          <w:rFonts w:ascii="Trebuchet MS" w:hAnsi="Trebuchet MS"/>
        </w:rPr>
      </w:pPr>
      <w:r w:rsidRPr="00CC7241">
        <w:rPr>
          <w:rFonts w:ascii="Trebuchet MS" w:hAnsi="Trebuchet MS"/>
        </w:rPr>
        <w:t xml:space="preserve">Alternatively, we could argue that philosophical arguments aren’t the natural foundation of religious belief, so ‘God exists’ gains its meaning not </w:t>
      </w:r>
      <w:r w:rsidRPr="00CC7241">
        <w:rPr>
          <w:rFonts w:ascii="Trebuchet MS" w:hAnsi="Trebuchet MS"/>
        </w:rPr>
        <w:lastRenderedPageBreak/>
        <w:t>from philosophical arguments but from how people experience human life.</w:t>
      </w:r>
      <w:r>
        <w:rPr>
          <w:rFonts w:ascii="Trebuchet MS" w:hAnsi="Trebuchet MS"/>
        </w:rPr>
        <w:t xml:space="preserve"> This returns us to Hick.</w:t>
      </w:r>
    </w:p>
    <w:p w14:paraId="64EC8023" w14:textId="77777777" w:rsidR="00D9751A" w:rsidRDefault="00D9751A" w:rsidP="00F854CF">
      <w:pPr>
        <w:pStyle w:val="Text"/>
        <w:rPr>
          <w:rFonts w:ascii="Trebuchet MS" w:hAnsi="Trebuchet MS"/>
        </w:rPr>
      </w:pPr>
    </w:p>
    <w:p w14:paraId="12EF604B" w14:textId="77777777" w:rsidR="00D9751A" w:rsidRPr="00CC7241" w:rsidRDefault="00D9751A" w:rsidP="00D9751A">
      <w:pPr>
        <w:pStyle w:val="Heading1"/>
        <w:rPr>
          <w:rFonts w:ascii="Trebuchet MS" w:hAnsi="Trebuchet MS"/>
          <w:szCs w:val="24"/>
        </w:rPr>
      </w:pPr>
      <w:r w:rsidRPr="00CC7241">
        <w:rPr>
          <w:rFonts w:ascii="Trebuchet MS" w:hAnsi="Trebuchet MS"/>
          <w:szCs w:val="24"/>
        </w:rPr>
        <w:t>Discussion</w:t>
      </w:r>
    </w:p>
    <w:p w14:paraId="044DD18D" w14:textId="77777777" w:rsidR="00D9751A" w:rsidRPr="00CC7241" w:rsidRDefault="00D9751A" w:rsidP="00D9751A">
      <w:pPr>
        <w:pStyle w:val="Text"/>
        <w:rPr>
          <w:rFonts w:ascii="Trebuchet MS" w:hAnsi="Trebuchet MS"/>
        </w:rPr>
      </w:pPr>
      <w:r w:rsidRPr="00CC7241">
        <w:rPr>
          <w:rFonts w:ascii="Trebuchet MS" w:hAnsi="Trebuchet MS"/>
        </w:rPr>
        <w:t>Hick wants to emphasise with the analogy is the contrast between something ‘experiential’ and beliefs that we form by argument or inference. To see something as a fork is to disposed to use it to eat with; we don’t infer we should use it this way. In the situation of the person hanging off the cliff, we don’t infer that we should help, we see that help is needed. So, he argues, the religious person doesn’t infer that God exists, but experiences life as an encounter with God. It is immediate, like perception, not inferred, like theoretical beliefs.</w:t>
      </w:r>
    </w:p>
    <w:p w14:paraId="386CB975" w14:textId="77777777" w:rsidR="00D9751A" w:rsidRPr="00CC7241" w:rsidRDefault="00D9751A" w:rsidP="00D9751A">
      <w:pPr>
        <w:pStyle w:val="Text"/>
        <w:rPr>
          <w:rFonts w:ascii="Trebuchet MS" w:hAnsi="Trebuchet MS"/>
        </w:rPr>
      </w:pPr>
    </w:p>
    <w:p w14:paraId="3E138FED" w14:textId="77777777" w:rsidR="00D9751A" w:rsidRPr="00CC7241" w:rsidRDefault="00D9751A" w:rsidP="00D9751A">
      <w:pPr>
        <w:pStyle w:val="Text"/>
        <w:rPr>
          <w:rFonts w:ascii="Trebuchet MS" w:hAnsi="Trebuchet MS"/>
        </w:rPr>
      </w:pPr>
      <w:r w:rsidRPr="00CC7241">
        <w:rPr>
          <w:rFonts w:ascii="Trebuchet MS" w:hAnsi="Trebuchet MS"/>
        </w:rPr>
        <w:t xml:space="preserve">But we can object that with perception, we </w:t>
      </w:r>
      <w:r w:rsidRPr="00CC7241">
        <w:rPr>
          <w:rFonts w:ascii="Trebuchet MS" w:hAnsi="Trebuchet MS"/>
          <w:i/>
        </w:rPr>
        <w:t>all</w:t>
      </w:r>
      <w:r w:rsidRPr="00CC7241">
        <w:rPr>
          <w:rFonts w:ascii="Trebuchet MS" w:hAnsi="Trebuchet MS"/>
        </w:rPr>
        <w:t xml:space="preserve"> experience the natural world. Religious experience is much less common and religious people come to different beliefs on the basis of their experience. If God was ‘there’ in the same way the natural world is ‘there’, we would all have the same religious experience, just as we have the same (or very similar) perceptual experience. So religious experience may </w:t>
      </w:r>
      <w:r w:rsidRPr="00CC7241">
        <w:rPr>
          <w:rFonts w:ascii="Trebuchet MS" w:hAnsi="Trebuchet MS"/>
          <w:i/>
        </w:rPr>
        <w:t>feel</w:t>
      </w:r>
      <w:r w:rsidRPr="00CC7241">
        <w:rPr>
          <w:rFonts w:ascii="Trebuchet MS" w:hAnsi="Trebuchet MS"/>
        </w:rPr>
        <w:t xml:space="preserve"> immediate, but differences in religious experience suggest that actually it is inferred.</w:t>
      </w:r>
    </w:p>
    <w:p w14:paraId="0F854972" w14:textId="77777777" w:rsidR="00D9751A" w:rsidRPr="00CC7241" w:rsidRDefault="00D9751A" w:rsidP="00D9751A">
      <w:pPr>
        <w:pStyle w:val="Text"/>
        <w:rPr>
          <w:rFonts w:ascii="Trebuchet MS" w:hAnsi="Trebuchet MS"/>
        </w:rPr>
      </w:pPr>
    </w:p>
    <w:p w14:paraId="075F65CC" w14:textId="77777777" w:rsidR="00D9751A" w:rsidRPr="00CC7241" w:rsidRDefault="00D9751A" w:rsidP="00D9751A">
      <w:pPr>
        <w:pStyle w:val="Text"/>
        <w:rPr>
          <w:rFonts w:ascii="Trebuchet MS" w:hAnsi="Trebuchet MS"/>
        </w:rPr>
      </w:pPr>
      <w:r w:rsidRPr="00CC7241">
        <w:rPr>
          <w:rFonts w:ascii="Trebuchet MS" w:hAnsi="Trebuchet MS"/>
        </w:rPr>
        <w:t xml:space="preserve">We can reply that this simplifies perceptual experience. People who are experts at recognising birds ‘see’ or ‘hear’ hawks, eagles, chuffs, woodcocks, and so on; they don’t have some perceptual experience we could all share and then ‘infer’ the species. Once one has </w:t>
      </w:r>
      <w:r w:rsidRPr="00CC7241">
        <w:rPr>
          <w:rFonts w:ascii="Trebuchet MS" w:hAnsi="Trebuchet MS"/>
          <w:i/>
        </w:rPr>
        <w:t>learned</w:t>
      </w:r>
      <w:r w:rsidRPr="00CC7241">
        <w:rPr>
          <w:rFonts w:ascii="Trebuchet MS" w:hAnsi="Trebuchet MS"/>
        </w:rPr>
        <w:t xml:space="preserve"> to recognise an object, one recognises it immediately – but first one must learn. So, Hick argues, not everyone recognises events as an encounter with God. Furthermore, if God was as unmistakable as the natural world, this would completely change religious faith – for the worse. So God gave us ‘cognitive freedom’ in being able to recognise or not recognise life as an encounter with him. Once one has freely opened oneself to this perspective, then (as with recognising birds) the experience is immediate. </w:t>
      </w:r>
    </w:p>
    <w:p w14:paraId="71D0EC3E" w14:textId="77777777" w:rsidR="00D9751A" w:rsidRPr="00CC7241" w:rsidRDefault="00D9751A" w:rsidP="00D9751A">
      <w:pPr>
        <w:pStyle w:val="Text"/>
        <w:rPr>
          <w:rFonts w:ascii="Trebuchet MS" w:hAnsi="Trebuchet MS"/>
        </w:rPr>
      </w:pPr>
    </w:p>
    <w:p w14:paraId="7703FC02" w14:textId="77777777" w:rsidR="00D9751A" w:rsidRPr="00CC7241" w:rsidRDefault="00D9751A" w:rsidP="00D9751A">
      <w:pPr>
        <w:pStyle w:val="Text"/>
        <w:rPr>
          <w:rFonts w:ascii="Trebuchet MS" w:hAnsi="Trebuchet MS"/>
          <w:i/>
        </w:rPr>
      </w:pPr>
      <w:r w:rsidRPr="00CC7241">
        <w:rPr>
          <w:rFonts w:ascii="Trebuchet MS" w:hAnsi="Trebuchet MS"/>
        </w:rPr>
        <w:t>But could it not all be an illusion? After all, someone who is mad might experience the world in a way that shows that they are being persecuted telepathically by aliens who want to conquer Earth. Hick responds that religious faith does not seem like a madness. The religious person gives no signs of psychological breakdown or an inability to function in the world. In fact, some religious teachers have a very high degree of psychological integration and maturity. So, as yet, we have no reason to think that experiencing the world religiously is irrational.</w:t>
      </w:r>
    </w:p>
    <w:p w14:paraId="6EE7D1BC" w14:textId="77777777" w:rsidR="00D9751A" w:rsidRPr="00CC7241" w:rsidRDefault="00D9751A" w:rsidP="00D9751A">
      <w:pPr>
        <w:pStyle w:val="Text"/>
        <w:rPr>
          <w:rFonts w:ascii="Trebuchet MS" w:hAnsi="Trebuchet MS"/>
        </w:rPr>
      </w:pPr>
    </w:p>
    <w:p w14:paraId="4E66009F" w14:textId="77777777" w:rsidR="00D9751A" w:rsidRPr="00CC7241" w:rsidRDefault="00D9751A" w:rsidP="00D9751A">
      <w:pPr>
        <w:pStyle w:val="Text"/>
        <w:rPr>
          <w:rFonts w:ascii="Trebuchet MS" w:hAnsi="Trebuchet MS"/>
        </w:rPr>
      </w:pPr>
      <w:r w:rsidRPr="00CC7241">
        <w:rPr>
          <w:rFonts w:ascii="Trebuchet MS" w:hAnsi="Trebuchet MS"/>
        </w:rPr>
        <w:t>This is not meant to convince anyone of the existence of God. Hick is only arguing that experiencing the world in this way is legitimate; for someone who has this experience, it is rational for them to believe in God. Someone who doesn’t have this experience is unaffected by the argument. They need not arguments, but different experiences, a different perspective on the world.</w:t>
      </w:r>
    </w:p>
    <w:p w14:paraId="3A32C02F" w14:textId="77777777" w:rsidR="00D9751A" w:rsidRPr="00CC7241" w:rsidRDefault="00D9751A" w:rsidP="00D9751A">
      <w:pPr>
        <w:pStyle w:val="Text"/>
        <w:rPr>
          <w:rFonts w:ascii="Trebuchet MS" w:hAnsi="Trebuchet MS"/>
        </w:rPr>
      </w:pPr>
    </w:p>
    <w:p w14:paraId="48039E8B" w14:textId="77777777" w:rsidR="00D9751A" w:rsidRPr="00CC7241" w:rsidRDefault="00D9751A" w:rsidP="00D9751A">
      <w:pPr>
        <w:pStyle w:val="Text"/>
        <w:rPr>
          <w:rFonts w:ascii="Trebuchet MS" w:hAnsi="Trebuchet MS"/>
        </w:rPr>
      </w:pPr>
      <w:r w:rsidRPr="00CC7241">
        <w:rPr>
          <w:rFonts w:ascii="Trebuchet MS" w:hAnsi="Trebuchet MS"/>
        </w:rPr>
        <w:lastRenderedPageBreak/>
        <w:t xml:space="preserve">What about the different religious beliefs that people hold? Either, in time, someone’s experience of the world will make particular religious beliefs irrational and unsustainable – and perhaps, in the long run, just one religion will be justified by religious experience; or this won’t happen, and no one religion will be better supported by religious experience than any other. In that case, we should argue that there are many ways of experiencing God. </w:t>
      </w:r>
    </w:p>
    <w:p w14:paraId="3997E315" w14:textId="7E905C21" w:rsidR="00D9751A" w:rsidRPr="00CC7241" w:rsidRDefault="00D9751A" w:rsidP="00F854CF">
      <w:pPr>
        <w:pStyle w:val="Text"/>
        <w:rPr>
          <w:rFonts w:ascii="Trebuchet MS" w:hAnsi="Trebuchet MS"/>
        </w:rPr>
      </w:pPr>
    </w:p>
    <w:p w14:paraId="5577DE38" w14:textId="77777777" w:rsidR="00F854CF" w:rsidRPr="00CC7241" w:rsidRDefault="00F854CF" w:rsidP="00F854CF">
      <w:pPr>
        <w:pStyle w:val="Heading1"/>
        <w:rPr>
          <w:rFonts w:ascii="Trebuchet MS" w:hAnsi="Trebuchet MS"/>
          <w:szCs w:val="24"/>
        </w:rPr>
      </w:pPr>
      <w:r w:rsidRPr="00CC7241">
        <w:rPr>
          <w:rFonts w:ascii="Trebuchet MS" w:hAnsi="Trebuchet MS"/>
          <w:szCs w:val="24"/>
        </w:rPr>
        <w:t>Religious ‘belief’ mirrors attitudes rather than facts</w:t>
      </w:r>
    </w:p>
    <w:p w14:paraId="7294E84D" w14:textId="77777777" w:rsidR="00F854CF" w:rsidRPr="00CC7241" w:rsidRDefault="00F854CF" w:rsidP="00F854CF">
      <w:pPr>
        <w:pStyle w:val="Text"/>
        <w:rPr>
          <w:rFonts w:ascii="Trebuchet MS" w:hAnsi="Trebuchet MS"/>
        </w:rPr>
      </w:pPr>
      <w:r w:rsidRPr="00CC7241">
        <w:rPr>
          <w:rFonts w:ascii="Trebuchet MS" w:hAnsi="Trebuchet MS"/>
        </w:rPr>
        <w:t>The arguments so far still understand ‘God exists’ as a statement of fact. But we can challenge this. First, as we have already noted, if it is a statement of fact, it is peculiar in that we do not test it against empirical experience. Second, religious belief is clearly not purely intellectual. If one experiences the world as an encounter with God, that involves a disposition to serve God. Third, people don’t normally acquire religious beliefs by argument or testing evidence. Instead, they come to an understanding of the world that is expressed in values and a way of living. When someone converts to a religion, what changes isn’t so much intellectual beliefs, but their will, what they value, how they choose to live. We can argue, then, that religious ‘belief’ is not really a genuine form of belief at all.</w:t>
      </w:r>
    </w:p>
    <w:p w14:paraId="55A0C9A2" w14:textId="77777777" w:rsidR="00F854CF" w:rsidRPr="00CC7241" w:rsidRDefault="00F854CF" w:rsidP="00F854CF">
      <w:pPr>
        <w:pStyle w:val="Text"/>
        <w:rPr>
          <w:rFonts w:ascii="Trebuchet MS" w:hAnsi="Trebuchet MS"/>
        </w:rPr>
      </w:pPr>
    </w:p>
    <w:p w14:paraId="146428D7" w14:textId="77777777" w:rsidR="00F854CF" w:rsidRPr="00CC7241" w:rsidRDefault="00F854CF" w:rsidP="00F854CF">
      <w:pPr>
        <w:pStyle w:val="Text"/>
        <w:rPr>
          <w:rFonts w:ascii="Trebuchet MS" w:hAnsi="Trebuchet MS"/>
        </w:rPr>
      </w:pPr>
      <w:r w:rsidRPr="00CC7241">
        <w:rPr>
          <w:rFonts w:ascii="Trebuchet MS" w:hAnsi="Trebuchet MS"/>
        </w:rPr>
        <w:t>So what is it? To say it expresses ‘feelings’ is too shallow. Religion is not just about feeling, it is about ways of living. Every religion pays close attention to what people do and gives guidance on how to live. So we can say that religious ‘beliefs’ are expressions of attitude and commitment, attitudes towards other people, nature, oneself, human history and so on that put the world in a certain light and which support commitments to act in certain ways and to mature as a spiritual being. The core of accepting a religious faith, on this view, is the intention to follow the way of life prescribed by that religion.</w:t>
      </w:r>
    </w:p>
    <w:p w14:paraId="617F838A" w14:textId="77777777" w:rsidR="00F854CF" w:rsidRPr="00CC7241" w:rsidRDefault="00F854CF" w:rsidP="00F854CF">
      <w:pPr>
        <w:pStyle w:val="Text"/>
        <w:rPr>
          <w:rFonts w:ascii="Trebuchet MS" w:hAnsi="Trebuchet MS"/>
        </w:rPr>
      </w:pPr>
    </w:p>
    <w:p w14:paraId="73E63140" w14:textId="77777777" w:rsidR="00F854CF" w:rsidRPr="00CC7241" w:rsidRDefault="00F854CF" w:rsidP="00F854CF">
      <w:pPr>
        <w:pStyle w:val="Text"/>
        <w:rPr>
          <w:rFonts w:ascii="Trebuchet MS" w:hAnsi="Trebuchet MS"/>
        </w:rPr>
      </w:pPr>
      <w:r w:rsidRPr="00CC7241">
        <w:rPr>
          <w:rFonts w:ascii="Trebuchet MS" w:hAnsi="Trebuchet MS"/>
        </w:rPr>
        <w:t>This is not to say that we can turn any particular religious ‘belief’ on its own into a rule that guides action. Unlike moral beliefs, such as ‘abortion is wrong’, which are directed onto some specific action or policy, religious ‘beliefs’ always come together, a whole set of beliefs, and the set as a whole indicates a whole way of life.</w:t>
      </w:r>
    </w:p>
    <w:p w14:paraId="60FC6892" w14:textId="77777777" w:rsidR="00F854CF" w:rsidRPr="00CC7241" w:rsidRDefault="00F854CF" w:rsidP="00F854CF">
      <w:pPr>
        <w:pStyle w:val="Text"/>
        <w:rPr>
          <w:rFonts w:ascii="Trebuchet MS" w:hAnsi="Trebuchet MS"/>
        </w:rPr>
      </w:pPr>
    </w:p>
    <w:p w14:paraId="4E44A0D9" w14:textId="77777777" w:rsidR="00F854CF" w:rsidRPr="00CC7241" w:rsidRDefault="00F854CF" w:rsidP="00F854CF">
      <w:pPr>
        <w:pStyle w:val="Heading2"/>
        <w:rPr>
          <w:rFonts w:ascii="Trebuchet MS" w:hAnsi="Trebuchet MS"/>
        </w:rPr>
      </w:pPr>
      <w:r w:rsidRPr="00CC7241">
        <w:rPr>
          <w:rFonts w:ascii="Trebuchet MS" w:hAnsi="Trebuchet MS"/>
        </w:rPr>
        <w:t>Objections</w:t>
      </w:r>
    </w:p>
    <w:p w14:paraId="39DB8FAE" w14:textId="77777777" w:rsidR="00F854CF" w:rsidRPr="00CC7241" w:rsidRDefault="00F854CF" w:rsidP="00F854CF">
      <w:pPr>
        <w:pStyle w:val="Text"/>
        <w:rPr>
          <w:rFonts w:ascii="Trebuchet MS" w:hAnsi="Trebuchet MS"/>
        </w:rPr>
      </w:pPr>
      <w:r w:rsidRPr="00CC7241">
        <w:rPr>
          <w:rFonts w:ascii="Trebuchet MS" w:hAnsi="Trebuchet MS"/>
        </w:rPr>
        <w:t>We can object that there is much more to religious ‘beliefs’ than a commitment to a way of life. What can we say about different religions that recommend similar ways of life? If commitment to a way of life is all that matters, then does it matter at all what one believes? Many religions have thought it does; some have even argued that how one lives is not the main point at all. Religious ‘belief’ is not the same as a general moral system. Furthermore, many Christians, for instance, would say that they live a certain way because God exists and showed us how to live. But if this answer only expresses the commitment to live a certain way then it doesn’t answer the question why live that way. If religious ‘belief’ is just a commitment, what supports that commitment or is it arbitrary?</w:t>
      </w:r>
    </w:p>
    <w:p w14:paraId="3723E0CD" w14:textId="77777777" w:rsidR="00F854CF" w:rsidRPr="00CC7241" w:rsidRDefault="00F854CF" w:rsidP="00F854CF">
      <w:pPr>
        <w:pStyle w:val="Text"/>
        <w:rPr>
          <w:rFonts w:ascii="Trebuchet MS" w:hAnsi="Trebuchet MS"/>
        </w:rPr>
      </w:pPr>
    </w:p>
    <w:p w14:paraId="7673E319" w14:textId="77777777" w:rsidR="00F854CF" w:rsidRPr="00CC7241" w:rsidRDefault="00F854CF" w:rsidP="00F854CF">
      <w:pPr>
        <w:pStyle w:val="Text"/>
        <w:rPr>
          <w:rFonts w:ascii="Trebuchet MS" w:hAnsi="Trebuchet MS"/>
        </w:rPr>
      </w:pPr>
      <w:r w:rsidRPr="00CC7241">
        <w:rPr>
          <w:rFonts w:ascii="Trebuchet MS" w:hAnsi="Trebuchet MS"/>
        </w:rPr>
        <w:lastRenderedPageBreak/>
        <w:t>To answer these objections, we might add that religious beliefs relate to specific stories or myths. These stories differ in different religions, and they don’t appear at all in purely moral systems. In Christianity, obviously the stories about Jesus’ life and death are central. But then, doesn’t this make religious belief about facts again? No, we can say, because the stories do not need to be believed to be true; they need to be believed as stories. The story is considered meaningful, rather than literally true, and it supports the commitment to a certain way of life.</w:t>
      </w:r>
    </w:p>
    <w:p w14:paraId="56DC32FD" w14:textId="77777777" w:rsidR="00F854CF" w:rsidRPr="00CC7241" w:rsidRDefault="00F854CF" w:rsidP="00F854CF">
      <w:pPr>
        <w:pStyle w:val="Text"/>
        <w:rPr>
          <w:rFonts w:ascii="Trebuchet MS" w:hAnsi="Trebuchet MS"/>
        </w:rPr>
      </w:pPr>
    </w:p>
    <w:p w14:paraId="6C198A0E" w14:textId="3D9790A4" w:rsidR="00CC7241" w:rsidRPr="00CC7241" w:rsidRDefault="00F854CF" w:rsidP="00CC7241">
      <w:pPr>
        <w:pStyle w:val="Text"/>
        <w:rPr>
          <w:rFonts w:ascii="Trebuchet MS" w:hAnsi="Trebuchet MS"/>
        </w:rPr>
      </w:pPr>
      <w:r w:rsidRPr="00CC7241">
        <w:rPr>
          <w:rFonts w:ascii="Trebuchet MS" w:hAnsi="Trebuchet MS"/>
        </w:rPr>
        <w:t>This might explain the difference between religions and between religion and morality. But, we can still object, a story isn’t the right kind of answer to ‘why live like that?’. Suppose a boy says that he wants to be a detective when he grows up, and to the question ‘why?’, tells you a Sherlock Holmes story. This is fine. Now suppose a Christian, to the question ‘why love your enemy as yourself?’ tells a story about Jesus. Is this a good answer? If all the stories about Jesus are false, and God doesn’t exist, then it is not a command from God that we should try to live this way. So why should we? If religious ‘beliefs’ are just commitments to a way of life supported by stories, then they seem to be subjective. Many religious believers would not accept this interpretation of belief.</w:t>
      </w:r>
      <w:bookmarkStart w:id="0" w:name="_GoBack"/>
      <w:bookmarkEnd w:id="0"/>
    </w:p>
    <w:sectPr w:rsidR="00CC7241" w:rsidRPr="00CC7241" w:rsidSect="00F854CF">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F794D5" w14:textId="77777777" w:rsidR="00955987" w:rsidRDefault="00955987">
      <w:r>
        <w:separator/>
      </w:r>
    </w:p>
  </w:endnote>
  <w:endnote w:type="continuationSeparator" w:id="0">
    <w:p w14:paraId="31F6CC4A" w14:textId="77777777" w:rsidR="00955987" w:rsidRDefault="00955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E668B1" w14:textId="77777777" w:rsidR="00955987" w:rsidRDefault="00955987">
      <w:r>
        <w:separator/>
      </w:r>
    </w:p>
  </w:footnote>
  <w:footnote w:type="continuationSeparator" w:id="0">
    <w:p w14:paraId="08E3BC6C" w14:textId="77777777" w:rsidR="00955987" w:rsidRDefault="00955987">
      <w:r>
        <w:continuationSeparator/>
      </w:r>
    </w:p>
  </w:footnote>
  <w:footnote w:id="1">
    <w:p w14:paraId="073D1128" w14:textId="35EFE278" w:rsidR="00CC7241" w:rsidRPr="00CC7241" w:rsidRDefault="00CC7241">
      <w:pPr>
        <w:pStyle w:val="FootnoteText"/>
      </w:pPr>
      <w:r>
        <w:rPr>
          <w:rStyle w:val="FootnoteReference"/>
        </w:rPr>
        <w:footnoteRef/>
      </w:r>
      <w:r>
        <w:t xml:space="preserve"> This handout is based on material from Lacewing, M. (2008) </w:t>
      </w:r>
      <w:r>
        <w:rPr>
          <w:i/>
        </w:rPr>
        <w:t>Philosophy for AS</w:t>
      </w:r>
      <w:r>
        <w:t xml:space="preserve"> (London: Routledge), pp. 324-329, 344-345.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A93EA4" w14:textId="77777777" w:rsidR="00F854CF" w:rsidRDefault="00F854CF" w:rsidP="00F854CF">
    <w:pPr>
      <w:pStyle w:val="Header"/>
      <w:jc w:val="right"/>
    </w:pPr>
  </w:p>
  <w:p w14:paraId="24D4D48C" w14:textId="77777777" w:rsidR="00F854CF" w:rsidRDefault="00F854CF" w:rsidP="00F854CF">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18126" w14:textId="3E2024EE" w:rsidR="00F854CF" w:rsidRDefault="00F854CF" w:rsidP="00F854CF">
    <w:pPr>
      <w:pStyle w:val="Header"/>
      <w:jc w:val="right"/>
    </w:pPr>
    <w:r>
      <w:t xml:space="preserve">© </w:t>
    </w:r>
    <w:r w:rsidR="00CC7241">
      <w:t>Michael Lacewing</w:t>
    </w:r>
  </w:p>
  <w:p w14:paraId="60247A07" w14:textId="77777777" w:rsidR="00F854CF" w:rsidRDefault="00F854CF" w:rsidP="00F854C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025"/>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955987"/>
    <w:rsid w:val="00CC7241"/>
    <w:rsid w:val="00D9751A"/>
    <w:rsid w:val="00F854CF"/>
  </w:rsids>
  <m:mathPr>
    <m:mathFont m:val="Cambria Math"/>
    <m:brkBin m:val="before"/>
    <m:brkBinSub m:val="--"/>
    <m:smallFrac m:val="0"/>
    <m:dispDef m:val="0"/>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CD027B7"/>
  <w15:chartTrackingRefBased/>
  <w15:docId w15:val="{7297283A-906F-8B46-B864-D731C1B89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7579"/>
    <w:rPr>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semiHidden/>
    <w:unhideWhenUsed/>
    <w:rsid w:val="00CC7241"/>
    <w:rPr>
      <w:sz w:val="20"/>
      <w:szCs w:val="20"/>
    </w:rPr>
  </w:style>
  <w:style w:type="paragraph" w:customStyle="1" w:styleId="Text">
    <w:name w:val="Text"/>
    <w:basedOn w:val="Normal"/>
    <w:autoRedefine/>
    <w:rsid w:val="005045BD"/>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basedOn w:val="DefaultParagraphFont"/>
    <w:link w:val="FootnoteText"/>
    <w:uiPriority w:val="99"/>
    <w:semiHidden/>
    <w:rsid w:val="00CC7241"/>
  </w:style>
  <w:style w:type="character" w:styleId="FootnoteReference">
    <w:name w:val="footnote reference"/>
    <w:uiPriority w:val="99"/>
    <w:semiHidden/>
    <w:unhideWhenUsed/>
    <w:rsid w:val="00CC724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6</TotalTime>
  <Pages>6</Pages>
  <Words>2768</Words>
  <Characters>12874</Characters>
  <Application>Microsoft Office Word</Application>
  <DocSecurity>0</DocSecurity>
  <Lines>238</Lines>
  <Paragraphs>51</Paragraphs>
  <ScaleCrop>false</ScaleCrop>
  <HeadingPairs>
    <vt:vector size="2" baseType="variant">
      <vt:variant>
        <vt:lpstr>Title</vt:lpstr>
      </vt:variant>
      <vt:variant>
        <vt:i4>1</vt:i4>
      </vt:variant>
    </vt:vector>
  </HeadingPairs>
  <TitlesOfParts>
    <vt:vector size="1" baseType="lpstr">
      <vt:lpstr>A priori intuition and demonstration</vt:lpstr>
    </vt:vector>
  </TitlesOfParts>
  <Company>Heythrop College</Company>
  <LinksUpToDate>false</LinksUpToDate>
  <CharactersWithSpaces>15591</CharactersWithSpaces>
  <SharedDoc>false</SharedDoc>
  <HLinks>
    <vt:vector size="12" baseType="variant">
      <vt:variant>
        <vt:i4>4194352</vt:i4>
      </vt:variant>
      <vt:variant>
        <vt:i4>16285</vt:i4>
      </vt:variant>
      <vt:variant>
        <vt:i4>1025</vt:i4>
      </vt:variant>
      <vt:variant>
        <vt:i4>1</vt:i4>
      </vt:variant>
      <vt:variant>
        <vt:lpwstr>ROUT_Logo_Black</vt:lpwstr>
      </vt:variant>
      <vt:variant>
        <vt:lpwstr/>
      </vt:variant>
      <vt:variant>
        <vt:i4>786443</vt:i4>
      </vt:variant>
      <vt:variant>
        <vt:i4>16343</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2011-11-03T10:07:00Z</cp:lastPrinted>
  <dcterms:created xsi:type="dcterms:W3CDTF">2018-07-19T20:31:00Z</dcterms:created>
  <dcterms:modified xsi:type="dcterms:W3CDTF">2018-07-19T20:31:00Z</dcterms:modified>
</cp:coreProperties>
</file>